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ayout w:type="fixed"/>
        <w:tblLook w:val="04A0" w:firstRow="1" w:lastRow="0" w:firstColumn="1" w:lastColumn="0" w:noHBand="0" w:noVBand="1"/>
      </w:tblPr>
      <w:tblGrid>
        <w:gridCol w:w="675"/>
        <w:gridCol w:w="4864"/>
        <w:gridCol w:w="239"/>
        <w:gridCol w:w="3969"/>
      </w:tblGrid>
      <w:tr w:rsidR="004117DC" w:rsidRPr="00A65F91" w:rsidTr="00204A55">
        <w:tc>
          <w:tcPr>
            <w:tcW w:w="9747" w:type="dxa"/>
            <w:gridSpan w:val="4"/>
          </w:tcPr>
          <w:p w:rsidR="009D4B91" w:rsidRDefault="004A7509" w:rsidP="00E832D4">
            <w:pPr>
              <w:spacing w:line="360" w:lineRule="atLeast"/>
              <w:jc w:val="center"/>
              <w:rPr>
                <w:b/>
                <w:sz w:val="24"/>
                <w:szCs w:val="24"/>
                <w:u w:val="single"/>
              </w:rPr>
            </w:pPr>
            <w:r w:rsidRPr="00A65F91">
              <w:rPr>
                <w:b/>
                <w:sz w:val="24"/>
                <w:szCs w:val="24"/>
                <w:u w:val="single"/>
              </w:rPr>
              <w:t>ΑΠΟΤΕΛΕΣΜΑΤΑ ΕΝΣΤΑΣΕΩΝ</w:t>
            </w:r>
          </w:p>
          <w:p w:rsidR="007650E2" w:rsidRPr="00A65F91" w:rsidRDefault="007650E2" w:rsidP="00E832D4">
            <w:pPr>
              <w:spacing w:line="360" w:lineRule="atLeast"/>
              <w:jc w:val="center"/>
              <w:rPr>
                <w:b/>
                <w:sz w:val="24"/>
                <w:szCs w:val="24"/>
                <w:u w:val="single"/>
              </w:rPr>
            </w:pPr>
          </w:p>
          <w:p w:rsidR="009D4B91" w:rsidRPr="00A65F91" w:rsidRDefault="009D4B91" w:rsidP="00E832D4">
            <w:pPr>
              <w:spacing w:line="360" w:lineRule="atLeast"/>
              <w:jc w:val="center"/>
              <w:rPr>
                <w:b/>
                <w:sz w:val="24"/>
                <w:szCs w:val="24"/>
              </w:rPr>
            </w:pPr>
            <w:r w:rsidRPr="00A65F91">
              <w:rPr>
                <w:b/>
                <w:sz w:val="24"/>
                <w:szCs w:val="24"/>
              </w:rPr>
              <w:t>για τη μία (1) θέση ευθύνης Προϊσταμένου/ης της Γενικής</w:t>
            </w:r>
            <w:r w:rsidRPr="00A65F91">
              <w:rPr>
                <w:rFonts w:cs="Arial"/>
                <w:b/>
                <w:sz w:val="24"/>
                <w:szCs w:val="24"/>
              </w:rPr>
              <w:t xml:space="preserve"> Διεύθυνσης Οικονομικών Υπηρεσιών</w:t>
            </w:r>
            <w:r w:rsidRPr="00A65F91">
              <w:rPr>
                <w:b/>
                <w:sz w:val="24"/>
                <w:szCs w:val="24"/>
              </w:rPr>
              <w:t xml:space="preserve"> του </w:t>
            </w:r>
            <w:r w:rsidRPr="00A65F91">
              <w:rPr>
                <w:rFonts w:cs="Arial"/>
                <w:b/>
                <w:sz w:val="24"/>
                <w:szCs w:val="24"/>
              </w:rPr>
              <w:t>Υπουργείου Ανάπτυξης,</w:t>
            </w:r>
          </w:p>
          <w:p w:rsidR="004A7509" w:rsidRPr="00A65F91" w:rsidRDefault="009D4B91" w:rsidP="00E832D4">
            <w:pPr>
              <w:spacing w:line="360" w:lineRule="atLeast"/>
              <w:jc w:val="center"/>
              <w:rPr>
                <w:b/>
                <w:sz w:val="24"/>
                <w:szCs w:val="24"/>
              </w:rPr>
            </w:pPr>
            <w:r w:rsidRPr="00A65F91">
              <w:rPr>
                <w:rFonts w:cs="Arial"/>
                <w:b/>
                <w:sz w:val="24"/>
                <w:szCs w:val="24"/>
              </w:rPr>
              <w:t xml:space="preserve">κατόπιν της υπ` </w:t>
            </w:r>
            <w:proofErr w:type="spellStart"/>
            <w:r w:rsidRPr="00A65F91">
              <w:rPr>
                <w:rFonts w:cs="Arial"/>
                <w:b/>
                <w:sz w:val="24"/>
                <w:szCs w:val="24"/>
              </w:rPr>
              <w:t>αριθμ</w:t>
            </w:r>
            <w:proofErr w:type="spellEnd"/>
            <w:r w:rsidRPr="00A65F91">
              <w:rPr>
                <w:rFonts w:cs="Arial"/>
                <w:b/>
                <w:sz w:val="24"/>
                <w:szCs w:val="24"/>
              </w:rPr>
              <w:t>. 23862/22.03.2024 Προκήρυξης (ΑΔΑ: ΨΝΕΑ46ΝΛΣΞ-3ΔΨ)</w:t>
            </w:r>
            <w:r w:rsidRPr="00A65F91">
              <w:rPr>
                <w:b/>
                <w:sz w:val="24"/>
                <w:szCs w:val="24"/>
              </w:rPr>
              <w:t xml:space="preserve">, </w:t>
            </w:r>
            <w:r w:rsidR="004A7509" w:rsidRPr="00A65F91">
              <w:rPr>
                <w:b/>
                <w:sz w:val="24"/>
                <w:szCs w:val="24"/>
              </w:rPr>
              <w:t>κατ` εφαρμογή των διατάξεων των άρθρων 84-86 του Ν. 3528/2007, όπως ισχύει.</w:t>
            </w:r>
          </w:p>
          <w:p w:rsidR="00E832D4" w:rsidRPr="00A65F91" w:rsidRDefault="00E832D4" w:rsidP="004117DC">
            <w:pPr>
              <w:spacing w:line="360" w:lineRule="atLeast"/>
              <w:jc w:val="both"/>
              <w:rPr>
                <w:b/>
                <w:sz w:val="24"/>
                <w:szCs w:val="24"/>
              </w:rPr>
            </w:pPr>
          </w:p>
        </w:tc>
      </w:tr>
      <w:tr w:rsidR="004117DC" w:rsidRPr="00A65F91" w:rsidTr="00204A55">
        <w:tc>
          <w:tcPr>
            <w:tcW w:w="9747" w:type="dxa"/>
            <w:gridSpan w:val="4"/>
          </w:tcPr>
          <w:p w:rsidR="007650E2" w:rsidRDefault="007650E2" w:rsidP="00E832D4">
            <w:pPr>
              <w:spacing w:line="360" w:lineRule="atLeast"/>
              <w:jc w:val="center"/>
              <w:rPr>
                <w:b/>
                <w:sz w:val="24"/>
                <w:szCs w:val="24"/>
              </w:rPr>
            </w:pPr>
          </w:p>
          <w:p w:rsidR="00152476" w:rsidRPr="007650E2" w:rsidRDefault="00542A29" w:rsidP="00E832D4">
            <w:pPr>
              <w:spacing w:line="360" w:lineRule="atLeast"/>
              <w:jc w:val="center"/>
              <w:rPr>
                <w:b/>
                <w:sz w:val="24"/>
                <w:szCs w:val="24"/>
                <w:u w:val="single"/>
              </w:rPr>
            </w:pPr>
            <w:r w:rsidRPr="007650E2">
              <w:rPr>
                <w:b/>
                <w:sz w:val="24"/>
                <w:szCs w:val="24"/>
                <w:u w:val="single"/>
              </w:rPr>
              <w:t>ΔΕΚΤΗ ΕΝΣΤΑΣΗ</w:t>
            </w:r>
          </w:p>
          <w:p w:rsidR="007650E2" w:rsidRPr="00A65F91" w:rsidRDefault="007650E2" w:rsidP="00E832D4">
            <w:pPr>
              <w:spacing w:line="360" w:lineRule="atLeast"/>
              <w:jc w:val="center"/>
              <w:rPr>
                <w:b/>
                <w:sz w:val="24"/>
                <w:szCs w:val="24"/>
              </w:rPr>
            </w:pPr>
          </w:p>
        </w:tc>
      </w:tr>
      <w:tr w:rsidR="004117DC" w:rsidRPr="00A65F91" w:rsidTr="00204A55">
        <w:tc>
          <w:tcPr>
            <w:tcW w:w="675" w:type="dxa"/>
          </w:tcPr>
          <w:p w:rsidR="004A7509" w:rsidRPr="00A65F91" w:rsidRDefault="00152476" w:rsidP="004117DC">
            <w:pPr>
              <w:spacing w:line="360" w:lineRule="atLeast"/>
              <w:jc w:val="both"/>
              <w:rPr>
                <w:b/>
                <w:sz w:val="24"/>
                <w:szCs w:val="24"/>
              </w:rPr>
            </w:pPr>
            <w:r w:rsidRPr="00A65F91">
              <w:rPr>
                <w:b/>
                <w:sz w:val="24"/>
                <w:szCs w:val="24"/>
              </w:rPr>
              <w:t>Α/Α</w:t>
            </w:r>
          </w:p>
        </w:tc>
        <w:tc>
          <w:tcPr>
            <w:tcW w:w="5103" w:type="dxa"/>
            <w:gridSpan w:val="2"/>
          </w:tcPr>
          <w:p w:rsidR="004A7509" w:rsidRPr="00A65F91" w:rsidRDefault="00204A55" w:rsidP="004117DC">
            <w:pPr>
              <w:spacing w:line="360" w:lineRule="atLeast"/>
              <w:jc w:val="both"/>
              <w:rPr>
                <w:b/>
                <w:sz w:val="24"/>
                <w:szCs w:val="24"/>
              </w:rPr>
            </w:pPr>
            <w:r w:rsidRPr="00A65F91">
              <w:rPr>
                <w:b/>
                <w:sz w:val="24"/>
                <w:szCs w:val="24"/>
              </w:rPr>
              <w:t xml:space="preserve">  </w:t>
            </w:r>
            <w:r w:rsidR="00152476" w:rsidRPr="00A65F91">
              <w:rPr>
                <w:b/>
                <w:sz w:val="24"/>
                <w:szCs w:val="24"/>
              </w:rPr>
              <w:t>ΟΝΟΜΑ ΥΠΟΨΗΦΙΟΥ/</w:t>
            </w:r>
            <w:r w:rsidRPr="00A65F91">
              <w:rPr>
                <w:b/>
                <w:sz w:val="24"/>
                <w:szCs w:val="24"/>
              </w:rPr>
              <w:t>ΑΣ – ΑΡ. ΠΡΩΤ. ΑΙΤΗΣΗΣ</w:t>
            </w:r>
          </w:p>
        </w:tc>
        <w:tc>
          <w:tcPr>
            <w:tcW w:w="3969" w:type="dxa"/>
          </w:tcPr>
          <w:p w:rsidR="004A7509" w:rsidRPr="00A65F91" w:rsidRDefault="00152476" w:rsidP="004117DC">
            <w:pPr>
              <w:spacing w:line="360" w:lineRule="atLeast"/>
              <w:jc w:val="both"/>
              <w:rPr>
                <w:b/>
                <w:sz w:val="24"/>
                <w:szCs w:val="24"/>
              </w:rPr>
            </w:pPr>
            <w:r w:rsidRPr="00A65F91">
              <w:rPr>
                <w:b/>
                <w:sz w:val="24"/>
                <w:szCs w:val="24"/>
              </w:rPr>
              <w:t>ΠΑΡΑΤΗΡΗΣΕΙΣ</w:t>
            </w:r>
          </w:p>
        </w:tc>
      </w:tr>
      <w:tr w:rsidR="004117DC" w:rsidRPr="00A65F91" w:rsidTr="00204A55">
        <w:tc>
          <w:tcPr>
            <w:tcW w:w="675" w:type="dxa"/>
          </w:tcPr>
          <w:p w:rsidR="004A7509" w:rsidRPr="00A65F91" w:rsidRDefault="00B20BC0" w:rsidP="004117DC">
            <w:pPr>
              <w:spacing w:line="360" w:lineRule="atLeast"/>
              <w:jc w:val="both"/>
              <w:rPr>
                <w:b/>
                <w:sz w:val="24"/>
                <w:szCs w:val="24"/>
              </w:rPr>
            </w:pPr>
            <w:r w:rsidRPr="00A65F91">
              <w:rPr>
                <w:b/>
                <w:sz w:val="24"/>
                <w:szCs w:val="24"/>
              </w:rPr>
              <w:t>1</w:t>
            </w:r>
            <w:r w:rsidR="00152476" w:rsidRPr="00A65F91">
              <w:rPr>
                <w:b/>
                <w:sz w:val="24"/>
                <w:szCs w:val="24"/>
              </w:rPr>
              <w:t>.</w:t>
            </w:r>
          </w:p>
        </w:tc>
        <w:tc>
          <w:tcPr>
            <w:tcW w:w="5103" w:type="dxa"/>
            <w:gridSpan w:val="2"/>
          </w:tcPr>
          <w:p w:rsidR="004A7509" w:rsidRPr="00A65F91" w:rsidRDefault="0021273D" w:rsidP="004117DC">
            <w:pPr>
              <w:spacing w:line="360" w:lineRule="atLeast"/>
              <w:jc w:val="both"/>
              <w:rPr>
                <w:b/>
                <w:sz w:val="24"/>
                <w:szCs w:val="24"/>
              </w:rPr>
            </w:pPr>
            <w:proofErr w:type="spellStart"/>
            <w:r w:rsidRPr="00A65F91">
              <w:rPr>
                <w:b/>
                <w:sz w:val="24"/>
                <w:szCs w:val="24"/>
              </w:rPr>
              <w:t>Κ</w:t>
            </w:r>
            <w:r w:rsidR="00BD4A75" w:rsidRPr="00A65F91">
              <w:rPr>
                <w:b/>
                <w:sz w:val="24"/>
                <w:szCs w:val="24"/>
              </w:rPr>
              <w:t>αψαλά</w:t>
            </w:r>
            <w:r w:rsidRPr="00A65F91">
              <w:rPr>
                <w:b/>
                <w:sz w:val="24"/>
                <w:szCs w:val="24"/>
              </w:rPr>
              <w:t>κη</w:t>
            </w:r>
            <w:proofErr w:type="spellEnd"/>
            <w:r w:rsidRPr="00A65F91">
              <w:rPr>
                <w:b/>
                <w:sz w:val="24"/>
                <w:szCs w:val="24"/>
              </w:rPr>
              <w:t xml:space="preserve"> Ευδοξία</w:t>
            </w:r>
          </w:p>
        </w:tc>
        <w:tc>
          <w:tcPr>
            <w:tcW w:w="3969" w:type="dxa"/>
          </w:tcPr>
          <w:p w:rsidR="00C0583B" w:rsidRPr="00A65F91" w:rsidRDefault="00C0583B" w:rsidP="004117DC">
            <w:pPr>
              <w:spacing w:line="360" w:lineRule="atLeast"/>
              <w:jc w:val="both"/>
              <w:rPr>
                <w:rFonts w:cs="Arial"/>
                <w:sz w:val="24"/>
                <w:szCs w:val="24"/>
              </w:rPr>
            </w:pPr>
            <w:r w:rsidRPr="00A65F91">
              <w:rPr>
                <w:rFonts w:cs="Arial"/>
                <w:sz w:val="24"/>
                <w:szCs w:val="24"/>
              </w:rPr>
              <w:t xml:space="preserve">Η </w:t>
            </w:r>
            <w:proofErr w:type="spellStart"/>
            <w:r w:rsidRPr="00A65F91">
              <w:rPr>
                <w:rFonts w:cs="Arial"/>
                <w:sz w:val="24"/>
                <w:szCs w:val="24"/>
              </w:rPr>
              <w:t>ενισταμένη</w:t>
            </w:r>
            <w:proofErr w:type="spellEnd"/>
            <w:r w:rsidRPr="00A65F91">
              <w:rPr>
                <w:rFonts w:cs="Arial"/>
                <w:sz w:val="24"/>
                <w:szCs w:val="24"/>
              </w:rPr>
              <w:t xml:space="preserve"> ισχυρίζεται ότι ο μεταπτυχιακός της τίτλος είναι συναφής με το αντικείμενο της θέσης. Συγκεκριμένα το μεταπτυχιακό της δίπλωμα που τιτλοφορείται «Διοίκηση των Επιχειρήσεων για στελέχη </w:t>
            </w:r>
            <w:r w:rsidRPr="00A65F91">
              <w:rPr>
                <w:rFonts w:cs="Arial"/>
                <w:sz w:val="24"/>
                <w:szCs w:val="24"/>
                <w:lang w:val="en-US"/>
              </w:rPr>
              <w:t>Executive</w:t>
            </w:r>
            <w:r w:rsidRPr="00A65F91">
              <w:rPr>
                <w:rFonts w:cs="Arial"/>
                <w:sz w:val="24"/>
                <w:szCs w:val="24"/>
              </w:rPr>
              <w:t xml:space="preserve"> </w:t>
            </w:r>
            <w:r w:rsidRPr="00A65F91">
              <w:rPr>
                <w:rFonts w:cs="Arial"/>
                <w:sz w:val="24"/>
                <w:szCs w:val="24"/>
                <w:lang w:val="en-US"/>
              </w:rPr>
              <w:t>MBA</w:t>
            </w:r>
            <w:r w:rsidRPr="00A65F91">
              <w:rPr>
                <w:rFonts w:cs="Arial"/>
                <w:sz w:val="24"/>
                <w:szCs w:val="24"/>
              </w:rPr>
              <w:t>” περιλαμβάνει μαθήματα (12 από τα 18), που αφορούν διοικητική ή οικονομική Λογιστική, Διαχείριση κινδύνων, τα οποία αντιστοιχούν με τις αρμοδιότητες που αναγράφονται στην προκήρυξη. Προσκομίζει δε την αναλυτική της βαθμολογία. Από αυτήν προκύπτει ότι έχει διδαχθεί:                             1) οικονομικά για στελέχη επιχειρήσεων, 2) χρηματοοικονομική διοίκηση, 3) χρηματοοικονομική λογιστική, 4) πληροφοριακά συστήματα διοίκησης, 5) διοικητική λογιστική.</w:t>
            </w:r>
          </w:p>
          <w:p w:rsidR="00C0583B" w:rsidRPr="00A65F91" w:rsidRDefault="00C0583B" w:rsidP="004117DC">
            <w:pPr>
              <w:spacing w:line="360" w:lineRule="atLeast"/>
              <w:jc w:val="both"/>
              <w:rPr>
                <w:rFonts w:cs="Arial"/>
                <w:sz w:val="24"/>
                <w:szCs w:val="24"/>
              </w:rPr>
            </w:pPr>
            <w:r w:rsidRPr="00A65F91">
              <w:rPr>
                <w:rFonts w:cs="Arial"/>
                <w:sz w:val="24"/>
                <w:szCs w:val="24"/>
              </w:rPr>
              <w:t xml:space="preserve">Από το αντικείμενο και τον σκοπό του μεταπτυχιακού αυτού διπλώματος και τις προαναφερόμενες ενότητες των διδασκομένων μαθημάτων προκύπτει συνάφεια του μεταπτυχιακού τίτλου ο οποίος εξάλλου απονέμεται από το Οικονομικό Πανεπιστήμιο Αθηνών προς το αντικείμενο και τις αρμοδιότητες της εν λόγω θέσης σύμφωνα με τις οικείες οργανικές </w:t>
            </w:r>
            <w:r w:rsidRPr="00A65F91">
              <w:rPr>
                <w:rFonts w:cs="Arial"/>
                <w:sz w:val="24"/>
                <w:szCs w:val="24"/>
              </w:rPr>
              <w:lastRenderedPageBreak/>
              <w:t>διατάξεις.</w:t>
            </w:r>
            <w:r w:rsidR="004117DC" w:rsidRPr="00A65F91">
              <w:rPr>
                <w:rFonts w:cs="Arial"/>
                <w:sz w:val="24"/>
                <w:szCs w:val="24"/>
              </w:rPr>
              <w:t xml:space="preserve"> </w:t>
            </w:r>
            <w:r w:rsidRPr="00A65F91">
              <w:rPr>
                <w:rFonts w:cs="Arial"/>
                <w:sz w:val="24"/>
                <w:szCs w:val="24"/>
              </w:rPr>
              <w:t>Και αυτό γιατί οι διατάξεις αυτές εντάσσουν στις αρμοδιότητες τους επιχειρησιακούς στόχους και τη διάρθρωση των οργανικών μονάδων της συγκεκριμένης Γενικής Διεύθυνσης, μέτρα, δράσεις και πολιτικές που αφορούν, μεταξύ άλλων, την κατάρτιση του προϋπολογισμού και του μεσοπρόθεσμου πλαισίου δημοσιονομικής στρατηγικής, την εκτέλεση του τακτικού προϋπολογισμού</w:t>
            </w:r>
            <w:r w:rsidR="004117DC" w:rsidRPr="00A65F91">
              <w:rPr>
                <w:rFonts w:cs="Arial"/>
                <w:sz w:val="24"/>
                <w:szCs w:val="24"/>
              </w:rPr>
              <w:t xml:space="preserve">, την εκτέλεση του προγράμματος </w:t>
            </w:r>
            <w:r w:rsidRPr="00A65F91">
              <w:rPr>
                <w:rFonts w:cs="Arial"/>
                <w:sz w:val="24"/>
                <w:szCs w:val="24"/>
              </w:rPr>
              <w:t>δημοσίων επενδύσεων, την εκκαθάριση αποδοχών, την οικονομική εποπτεία των φορέων γενικής κυβέρνησης και των ΔΕΚΟ κλπ., δηλαδή αρμοδιότητες κατεξοχήν οικονομικού – λογιστικού και δημοσιονομικού περιεχομένου.</w:t>
            </w:r>
          </w:p>
          <w:p w:rsidR="004A7509" w:rsidRPr="00A65F91" w:rsidRDefault="00C0583B" w:rsidP="004117DC">
            <w:pPr>
              <w:spacing w:line="360" w:lineRule="atLeast"/>
              <w:jc w:val="both"/>
              <w:rPr>
                <w:rFonts w:cs="Arial"/>
                <w:sz w:val="24"/>
                <w:szCs w:val="24"/>
              </w:rPr>
            </w:pPr>
            <w:r w:rsidRPr="00A65F91">
              <w:rPr>
                <w:rFonts w:cs="Arial"/>
                <w:sz w:val="24"/>
                <w:szCs w:val="24"/>
              </w:rPr>
              <w:t xml:space="preserve">Ακολούθως η </w:t>
            </w:r>
            <w:proofErr w:type="spellStart"/>
            <w:r w:rsidRPr="00A65F91">
              <w:rPr>
                <w:rFonts w:cs="Arial"/>
                <w:sz w:val="24"/>
                <w:szCs w:val="24"/>
              </w:rPr>
              <w:t>ενισταμένη</w:t>
            </w:r>
            <w:proofErr w:type="spellEnd"/>
            <w:r w:rsidRPr="00A65F91">
              <w:rPr>
                <w:rFonts w:cs="Arial"/>
                <w:sz w:val="24"/>
                <w:szCs w:val="24"/>
              </w:rPr>
              <w:t xml:space="preserve"> ισχυρίζεται ότι εσφαλμένα έχει καταχωρηθεί προϋπηρεσία της  ως αναπλήρωση στο πεδίο προϊστάμενος τμήματος, ε</w:t>
            </w:r>
            <w:r w:rsidR="004117DC" w:rsidRPr="00A65F91">
              <w:rPr>
                <w:rFonts w:cs="Arial"/>
                <w:sz w:val="24"/>
                <w:szCs w:val="24"/>
              </w:rPr>
              <w:t>νώ η υπηρεσία της ως τμηματάρχη</w:t>
            </w:r>
            <w:r w:rsidRPr="00A65F91">
              <w:rPr>
                <w:rFonts w:cs="Arial"/>
                <w:sz w:val="24"/>
                <w:szCs w:val="24"/>
              </w:rPr>
              <w:t xml:space="preserve"> έχει γίνει κατόπιν τοποθετήσεων ή και επιλογής.</w:t>
            </w:r>
            <w:r w:rsidR="004117DC" w:rsidRPr="00A65F91">
              <w:rPr>
                <w:rFonts w:cs="Arial"/>
                <w:sz w:val="24"/>
                <w:szCs w:val="24"/>
              </w:rPr>
              <w:t xml:space="preserve"> </w:t>
            </w:r>
            <w:r w:rsidRPr="00A65F91">
              <w:rPr>
                <w:rFonts w:cs="Arial"/>
                <w:sz w:val="24"/>
                <w:szCs w:val="24"/>
              </w:rPr>
              <w:t>Κατά συνέπεια, πρέπει να υπολογισθεί με 3 μόρια το μήνα ήτοι 3Χ28 δηλαδή 84 μόρια. Ο ισχυρισμός αυτός στηρίζεται σε εσφαλμένη πραγματική εκδοχή καθόσον αναφέρονται 28 μήνες στο πεδίο προϊστάμενος τμήματος με επιλογή ή και τοποθέτηση και 0 μήνες στο πεδίο προϊστάμενος τμήματος με αναπλήρωση.</w:t>
            </w:r>
            <w:r w:rsidR="004117DC" w:rsidRPr="00A65F91">
              <w:rPr>
                <w:rFonts w:cs="Arial"/>
                <w:sz w:val="24"/>
                <w:szCs w:val="24"/>
              </w:rPr>
              <w:t xml:space="preserve"> </w:t>
            </w:r>
            <w:r w:rsidRPr="00A65F91">
              <w:rPr>
                <w:rFonts w:cs="Arial"/>
                <w:sz w:val="24"/>
                <w:szCs w:val="24"/>
              </w:rPr>
              <w:t xml:space="preserve">Τέλος, σε κάθε περίπτωση σύμφωνα με το άρθρο 85 παρ. 2 </w:t>
            </w:r>
            <w:proofErr w:type="spellStart"/>
            <w:r w:rsidRPr="00A65F91">
              <w:rPr>
                <w:rFonts w:cs="Arial"/>
                <w:sz w:val="24"/>
                <w:szCs w:val="24"/>
              </w:rPr>
              <w:t>περ</w:t>
            </w:r>
            <w:proofErr w:type="spellEnd"/>
            <w:r w:rsidRPr="00A65F91">
              <w:rPr>
                <w:rFonts w:cs="Arial"/>
                <w:sz w:val="24"/>
                <w:szCs w:val="24"/>
              </w:rPr>
              <w:t xml:space="preserve">. </w:t>
            </w:r>
            <w:proofErr w:type="spellStart"/>
            <w:r w:rsidRPr="00A65F91">
              <w:rPr>
                <w:rFonts w:cs="Arial"/>
                <w:sz w:val="24"/>
                <w:szCs w:val="24"/>
              </w:rPr>
              <w:t>ββ</w:t>
            </w:r>
            <w:proofErr w:type="spellEnd"/>
            <w:r w:rsidRPr="00A65F91">
              <w:rPr>
                <w:rFonts w:cs="Arial"/>
                <w:sz w:val="24"/>
                <w:szCs w:val="24"/>
              </w:rPr>
              <w:t xml:space="preserve">’ υποψήφιος που έχει ασκήσει καθήκοντα ευθύνης οποιουδήποτε επιπέδου, πάνω από </w:t>
            </w:r>
            <w:r w:rsidRPr="00A65F91">
              <w:rPr>
                <w:rFonts w:cs="Arial"/>
                <w:sz w:val="24"/>
                <w:szCs w:val="24"/>
              </w:rPr>
              <w:lastRenderedPageBreak/>
              <w:t xml:space="preserve">120 μήνες (όπως στην προκειμένη περίπτωση), ήτοι πάνω από 10 έτη συνολικά, για το χρονικό διάστημα που υπερβαίνει τους 120 μήνες </w:t>
            </w:r>
            <w:proofErr w:type="spellStart"/>
            <w:r w:rsidRPr="00A65F91">
              <w:rPr>
                <w:rFonts w:cs="Arial"/>
                <w:sz w:val="24"/>
                <w:szCs w:val="24"/>
              </w:rPr>
              <w:t>μοριοδοτείται</w:t>
            </w:r>
            <w:proofErr w:type="spellEnd"/>
            <w:r w:rsidRPr="00A65F91">
              <w:rPr>
                <w:rFonts w:cs="Arial"/>
                <w:sz w:val="24"/>
                <w:szCs w:val="24"/>
              </w:rPr>
              <w:t xml:space="preserve"> με 1,5 μόριο για κάθε μήνα άσκησης των ανωτέρω καθηκόντων. Κατά συνέπεια πρέπει να γίνει εν μέρει δεκτή η κρινόμενη ένσταση και να της αναγνωρισθεί ότι ο μεταπτυχιακός της τίτλος είναι συναφής με το αντικείμενο της υπό πλήρωση θέσεως.</w:t>
            </w:r>
          </w:p>
        </w:tc>
      </w:tr>
      <w:tr w:rsidR="004117DC" w:rsidRPr="00A65F91" w:rsidTr="00204A55">
        <w:tc>
          <w:tcPr>
            <w:tcW w:w="9747" w:type="dxa"/>
            <w:gridSpan w:val="4"/>
          </w:tcPr>
          <w:p w:rsidR="00082C74" w:rsidRDefault="00082C74" w:rsidP="00E832D4">
            <w:pPr>
              <w:spacing w:line="360" w:lineRule="atLeast"/>
              <w:jc w:val="center"/>
              <w:rPr>
                <w:b/>
                <w:sz w:val="24"/>
                <w:szCs w:val="24"/>
              </w:rPr>
            </w:pPr>
          </w:p>
          <w:p w:rsidR="00B20BC0" w:rsidRDefault="00B20BC0" w:rsidP="00E832D4">
            <w:pPr>
              <w:spacing w:line="360" w:lineRule="atLeast"/>
              <w:jc w:val="center"/>
              <w:rPr>
                <w:b/>
                <w:sz w:val="24"/>
                <w:szCs w:val="24"/>
              </w:rPr>
            </w:pPr>
            <w:bookmarkStart w:id="0" w:name="_GoBack"/>
            <w:bookmarkEnd w:id="0"/>
            <w:r w:rsidRPr="00A65F91">
              <w:rPr>
                <w:b/>
                <w:sz w:val="24"/>
                <w:szCs w:val="24"/>
              </w:rPr>
              <w:t>ΑΠΟΡΡΙΦΘΕΙΣΕΣ ΕΝΣΤΑΣΕΙΣ</w:t>
            </w:r>
          </w:p>
          <w:p w:rsidR="00082C74" w:rsidRPr="00A65F91" w:rsidRDefault="00082C74" w:rsidP="00E832D4">
            <w:pPr>
              <w:spacing w:line="360" w:lineRule="atLeast"/>
              <w:jc w:val="center"/>
              <w:rPr>
                <w:b/>
                <w:sz w:val="24"/>
                <w:szCs w:val="24"/>
              </w:rPr>
            </w:pPr>
          </w:p>
        </w:tc>
      </w:tr>
      <w:tr w:rsidR="004117DC" w:rsidRPr="00A65F91" w:rsidTr="00204A55">
        <w:tc>
          <w:tcPr>
            <w:tcW w:w="675" w:type="dxa"/>
          </w:tcPr>
          <w:p w:rsidR="004A7509" w:rsidRPr="00A65F91" w:rsidRDefault="00204A55" w:rsidP="004117DC">
            <w:pPr>
              <w:spacing w:line="360" w:lineRule="atLeast"/>
              <w:jc w:val="both"/>
              <w:rPr>
                <w:b/>
                <w:sz w:val="24"/>
                <w:szCs w:val="24"/>
              </w:rPr>
            </w:pPr>
            <w:r w:rsidRPr="00A65F91">
              <w:rPr>
                <w:b/>
                <w:sz w:val="24"/>
                <w:szCs w:val="24"/>
              </w:rPr>
              <w:t>1.</w:t>
            </w:r>
          </w:p>
        </w:tc>
        <w:tc>
          <w:tcPr>
            <w:tcW w:w="4864" w:type="dxa"/>
          </w:tcPr>
          <w:p w:rsidR="004A7509" w:rsidRPr="00A65F91" w:rsidRDefault="00E436B1" w:rsidP="004117DC">
            <w:pPr>
              <w:spacing w:line="360" w:lineRule="atLeast"/>
              <w:jc w:val="both"/>
              <w:rPr>
                <w:sz w:val="24"/>
                <w:szCs w:val="24"/>
              </w:rPr>
            </w:pPr>
            <w:r w:rsidRPr="00A65F91">
              <w:rPr>
                <w:rFonts w:cs="Arial"/>
                <w:b/>
                <w:sz w:val="24"/>
                <w:szCs w:val="24"/>
              </w:rPr>
              <w:t>7218/11-4-2024</w:t>
            </w:r>
          </w:p>
        </w:tc>
        <w:tc>
          <w:tcPr>
            <w:tcW w:w="4208" w:type="dxa"/>
            <w:gridSpan w:val="2"/>
          </w:tcPr>
          <w:p w:rsidR="004117DC" w:rsidRPr="00A65F91" w:rsidRDefault="004117DC" w:rsidP="004117DC">
            <w:pPr>
              <w:spacing w:line="360" w:lineRule="atLeast"/>
              <w:jc w:val="both"/>
              <w:rPr>
                <w:rFonts w:cs="Arial"/>
                <w:sz w:val="24"/>
                <w:szCs w:val="24"/>
              </w:rPr>
            </w:pPr>
            <w:r w:rsidRPr="00A65F91">
              <w:rPr>
                <w:rFonts w:cs="Arial"/>
                <w:sz w:val="24"/>
                <w:szCs w:val="24"/>
              </w:rPr>
              <w:t>Στη σύντομη πε</w:t>
            </w:r>
            <w:r w:rsidR="002167E9">
              <w:rPr>
                <w:rFonts w:cs="Arial"/>
                <w:sz w:val="24"/>
                <w:szCs w:val="24"/>
              </w:rPr>
              <w:t xml:space="preserve">ριγραφή της εν λόγω θέσεως στη </w:t>
            </w:r>
            <w:r w:rsidRPr="00A65F91">
              <w:rPr>
                <w:rFonts w:cs="Arial"/>
                <w:sz w:val="24"/>
                <w:szCs w:val="24"/>
              </w:rPr>
              <w:t>σχ</w:t>
            </w:r>
            <w:r w:rsidR="002167E9">
              <w:rPr>
                <w:rFonts w:cs="Arial"/>
                <w:sz w:val="24"/>
                <w:szCs w:val="24"/>
              </w:rPr>
              <w:t>ετική προκήρυξη αναφέρεται  ότι</w:t>
            </w:r>
            <w:r w:rsidRPr="00A65F91">
              <w:rPr>
                <w:rFonts w:cs="Arial"/>
                <w:sz w:val="24"/>
                <w:szCs w:val="24"/>
              </w:rPr>
              <w:t>:  «Η Προϊστάμενος/η της Γενικής Διεύθυνσης Οικονομικών Υπηρεσιών (ΓΔΟΥ) αναπτύσσει και εφαρμόζει τις δημόσιες πολιτικές της Γενικής Διεύθυνσης της οποίας προΐσταται. Είναι υπεύθυνος/η για τη διασφάλιση της χρηστής δημοσιονομικής διαχείρισης του Υπουργείου και των εποπτευόμενων από αυτό φορέων της Γενικής Κυβέρνησης και εποπτεύει τις διαδικασίες που αφορούν στον προϋπολογισμό και την ορθή λογιστική αποτύπωση των δραστηριοτήτων του Υπουργείου και των εποπτευόμενων φορέων του, σύμφωνα με τις κατευθυντήριες οδηγίες του Γενικού Λογιστηρίου του κράτους» Εν συνεχεία στο άρθρο 21 του π.δ.5/2022  ορίζονται τα σχετικά   με τον στρατηγικό σκοπό της υπόψη ΓΔΟΥ</w:t>
            </w:r>
            <w:r w:rsidR="00E10A3E" w:rsidRPr="00A65F91">
              <w:rPr>
                <w:rFonts w:cs="Arial"/>
                <w:sz w:val="24"/>
                <w:szCs w:val="24"/>
              </w:rPr>
              <w:t xml:space="preserve"> </w:t>
            </w:r>
            <w:r w:rsidRPr="00A65F91">
              <w:rPr>
                <w:rFonts w:cs="Arial"/>
                <w:sz w:val="24"/>
                <w:szCs w:val="24"/>
              </w:rPr>
              <w:t>που είναι η ενιαία δημοσιονομική διαχείριση και έλεγχος οικονομικών θεμάτων</w:t>
            </w:r>
            <w:r w:rsidR="00A05387">
              <w:rPr>
                <w:rFonts w:cs="Arial"/>
                <w:sz w:val="24"/>
                <w:szCs w:val="24"/>
              </w:rPr>
              <w:t xml:space="preserve"> και λειτουργιών του Υπουργείου</w:t>
            </w:r>
            <w:r w:rsidRPr="00A65F91">
              <w:rPr>
                <w:rFonts w:cs="Arial"/>
                <w:sz w:val="24"/>
                <w:szCs w:val="24"/>
              </w:rPr>
              <w:t>, καθώς και των φορέων που εποπτεύονται και  περιλαμβάνονται στον προϋπολογισμό του</w:t>
            </w:r>
            <w:r w:rsidR="007650E2">
              <w:rPr>
                <w:rFonts w:cs="Arial"/>
                <w:sz w:val="24"/>
                <w:szCs w:val="24"/>
              </w:rPr>
              <w:t>.</w:t>
            </w:r>
          </w:p>
          <w:p w:rsidR="00782B38" w:rsidRPr="00A65F91" w:rsidRDefault="004117DC" w:rsidP="00E10A3E">
            <w:pPr>
              <w:spacing w:line="360" w:lineRule="atLeast"/>
              <w:jc w:val="both"/>
              <w:rPr>
                <w:rFonts w:cs="Arial"/>
                <w:sz w:val="24"/>
                <w:szCs w:val="24"/>
              </w:rPr>
            </w:pPr>
            <w:r w:rsidRPr="00A65F91">
              <w:rPr>
                <w:rFonts w:cs="Arial"/>
                <w:sz w:val="24"/>
                <w:szCs w:val="24"/>
              </w:rPr>
              <w:t xml:space="preserve">Στην προκειμένη περίπτωση Ο ενιστάμενος  προσβάλλοντας τους  </w:t>
            </w:r>
            <w:r w:rsidR="00E10A3E" w:rsidRPr="00A65F91">
              <w:rPr>
                <w:rFonts w:cs="Arial"/>
                <w:sz w:val="24"/>
                <w:szCs w:val="24"/>
              </w:rPr>
              <w:t>προσωρινούς   πίνακες κατάταξης</w:t>
            </w:r>
            <w:r w:rsidRPr="00A65F91">
              <w:rPr>
                <w:rFonts w:cs="Arial"/>
                <w:sz w:val="24"/>
                <w:szCs w:val="24"/>
              </w:rPr>
              <w:t>,</w:t>
            </w:r>
            <w:r w:rsidR="00E10A3E" w:rsidRPr="00A65F91">
              <w:rPr>
                <w:rFonts w:cs="Arial"/>
                <w:sz w:val="24"/>
                <w:szCs w:val="24"/>
              </w:rPr>
              <w:t xml:space="preserve"> </w:t>
            </w:r>
            <w:r w:rsidRPr="00A65F91">
              <w:rPr>
                <w:rFonts w:cs="Arial"/>
                <w:sz w:val="24"/>
                <w:szCs w:val="24"/>
              </w:rPr>
              <w:t>ισχυρίζεται ότι   το μεταπτυχιακό του  το έχει λάβει από το    ΕΚΠΑ    και έχει τον τίτλο ¨Ευρωπαϊκή  Οργάνωση και Διπλωματία» και είναι συναφές με το αντικείμενο</w:t>
            </w:r>
            <w:r w:rsidR="00E10A3E" w:rsidRPr="00A65F91">
              <w:rPr>
                <w:rFonts w:cs="Arial"/>
                <w:sz w:val="24"/>
                <w:szCs w:val="24"/>
              </w:rPr>
              <w:t xml:space="preserve"> της  θέσης</w:t>
            </w:r>
            <w:r w:rsidRPr="00A65F91">
              <w:rPr>
                <w:rFonts w:cs="Arial"/>
                <w:sz w:val="24"/>
                <w:szCs w:val="24"/>
              </w:rPr>
              <w:t>.   Ισχυρίζεται δε περαιτέρω ότι το συγκεκριμένο μεταπτυχιακό   έχει κριθεί ως συναφές   με τη θέση  του ΓΔΟΥ   στα Υπουργεία Δικαιοσύνης [2018] και Πολιτισμού</w:t>
            </w:r>
            <w:r w:rsidR="00E10A3E" w:rsidRPr="00A65F91">
              <w:rPr>
                <w:rFonts w:cs="Arial"/>
                <w:sz w:val="24"/>
                <w:szCs w:val="24"/>
              </w:rPr>
              <w:t xml:space="preserve"> [2022].</w:t>
            </w:r>
            <w:r w:rsidRPr="00A65F91">
              <w:rPr>
                <w:rFonts w:cs="Arial"/>
                <w:sz w:val="24"/>
                <w:szCs w:val="24"/>
              </w:rPr>
              <w:t xml:space="preserve"> Στο μεταπτυχιακό αυτό διδάχθηκε μαθήματα όπως Ευρωπαϊκή</w:t>
            </w:r>
            <w:r w:rsidR="00E10A3E" w:rsidRPr="00A65F91">
              <w:rPr>
                <w:rFonts w:cs="Arial"/>
                <w:sz w:val="24"/>
                <w:szCs w:val="24"/>
              </w:rPr>
              <w:t xml:space="preserve"> Οικονομία</w:t>
            </w:r>
            <w:r w:rsidRPr="00A65F91">
              <w:rPr>
                <w:rFonts w:cs="Arial"/>
                <w:sz w:val="24"/>
                <w:szCs w:val="24"/>
              </w:rPr>
              <w:t>,</w:t>
            </w:r>
            <w:r w:rsidR="00E10A3E" w:rsidRPr="00A65F91">
              <w:rPr>
                <w:rFonts w:cs="Arial"/>
                <w:sz w:val="24"/>
                <w:szCs w:val="24"/>
              </w:rPr>
              <w:t xml:space="preserve"> Διαρθρωτικά Ταμεία και Ελλάδα</w:t>
            </w:r>
            <w:r w:rsidRPr="00A65F91">
              <w:rPr>
                <w:rFonts w:cs="Arial"/>
                <w:sz w:val="24"/>
                <w:szCs w:val="24"/>
              </w:rPr>
              <w:t xml:space="preserve"> και Λειτουργία Εσωτερικής </w:t>
            </w:r>
            <w:r w:rsidR="00E10A3E" w:rsidRPr="00A65F91">
              <w:rPr>
                <w:rFonts w:cs="Arial"/>
                <w:sz w:val="24"/>
                <w:szCs w:val="24"/>
              </w:rPr>
              <w:t>αγοράς</w:t>
            </w:r>
            <w:r w:rsidRPr="00A65F91">
              <w:rPr>
                <w:rFonts w:cs="Arial"/>
                <w:sz w:val="24"/>
                <w:szCs w:val="24"/>
              </w:rPr>
              <w:t>, από αυτά δε προκύπτει η συνάφεια  με τις απαιτήσεις της θ</w:t>
            </w:r>
            <w:r w:rsidR="00E10A3E" w:rsidRPr="00A65F91">
              <w:rPr>
                <w:rFonts w:cs="Arial"/>
                <w:sz w:val="24"/>
                <w:szCs w:val="24"/>
              </w:rPr>
              <w:t>έσης  που αφορούν τη διαχείριση</w:t>
            </w:r>
            <w:r w:rsidRPr="00A65F91">
              <w:rPr>
                <w:rFonts w:cs="Arial"/>
                <w:sz w:val="24"/>
                <w:szCs w:val="24"/>
              </w:rPr>
              <w:t>, εκτέλεση   και έλεγχο</w:t>
            </w:r>
            <w:r w:rsidR="00E10A3E" w:rsidRPr="00A65F91">
              <w:rPr>
                <w:rFonts w:cs="Arial"/>
                <w:sz w:val="24"/>
                <w:szCs w:val="24"/>
              </w:rPr>
              <w:t xml:space="preserve"> των συγχρηματοδοτούμενων έργων </w:t>
            </w:r>
            <w:r w:rsidRPr="00A65F91">
              <w:rPr>
                <w:rFonts w:cs="Arial"/>
                <w:sz w:val="24"/>
                <w:szCs w:val="24"/>
              </w:rPr>
              <w:t>και</w:t>
            </w:r>
            <w:r w:rsidR="00E10A3E" w:rsidRPr="00A65F91">
              <w:rPr>
                <w:rFonts w:cs="Arial"/>
                <w:sz w:val="24"/>
                <w:szCs w:val="24"/>
              </w:rPr>
              <w:t xml:space="preserve"> τον έλεγχο κρατικών ενισχύσεων</w:t>
            </w:r>
            <w:r w:rsidRPr="00A65F91">
              <w:rPr>
                <w:rFonts w:cs="Arial"/>
                <w:sz w:val="24"/>
                <w:szCs w:val="24"/>
              </w:rPr>
              <w:t>.  Προσκομίζει  την αναλυτική του βαθμολογία  στα μαθήματα που έχει διδαχθεί στο πλαίσιο του εν λόγω μεταπτυχιακού.</w:t>
            </w:r>
            <w:r w:rsidR="00E10A3E" w:rsidRPr="00A65F91">
              <w:rPr>
                <w:rFonts w:cs="Arial"/>
                <w:sz w:val="24"/>
                <w:szCs w:val="24"/>
              </w:rPr>
              <w:t xml:space="preserve">  Τέλος, ισχυρίζεται </w:t>
            </w:r>
            <w:r w:rsidRPr="00A65F91">
              <w:rPr>
                <w:rFonts w:cs="Arial"/>
                <w:sz w:val="24"/>
                <w:szCs w:val="24"/>
              </w:rPr>
              <w:t>ότι στην συγκεκριμένη προκήρυξη στο περίγραμμα θέσης    αναφέρεται ως απαρα</w:t>
            </w:r>
            <w:r w:rsidR="00E10A3E" w:rsidRPr="00A65F91">
              <w:rPr>
                <w:rFonts w:cs="Arial"/>
                <w:sz w:val="24"/>
                <w:szCs w:val="24"/>
              </w:rPr>
              <w:t>ίτητη  η « γνώση  του πολιτικού</w:t>
            </w:r>
            <w:r w:rsidRPr="00A65F91">
              <w:rPr>
                <w:rFonts w:cs="Arial"/>
                <w:sz w:val="24"/>
                <w:szCs w:val="24"/>
              </w:rPr>
              <w:t xml:space="preserve">, διεθνούς   και εθνικού κοινωνικού  οικονομικού  πλαισίου   των εθνικών και ευρωπαϊκών σπουδών» η οποία καλύπτεται πλήρως   από τον μεταπτυχιακό  του τίτλο.  Όμως ο ενιστάμενος   δεν αποδεικνύει ότι  η  απόφαση προηγούμενων ΕΙΣΕΠ  που κρίθηκε η υποψηφιότητά του για  το Υπουργείο  Δικαιοσύνης και Πολιτισμού </w:t>
            </w:r>
            <w:r w:rsidR="00E10A3E" w:rsidRPr="00A65F91">
              <w:rPr>
                <w:rFonts w:cs="Arial"/>
                <w:sz w:val="24"/>
                <w:szCs w:val="24"/>
              </w:rPr>
              <w:t>αφορούσε</w:t>
            </w:r>
            <w:r w:rsidRPr="00A65F91">
              <w:rPr>
                <w:rFonts w:cs="Arial"/>
                <w:sz w:val="24"/>
                <w:szCs w:val="24"/>
              </w:rPr>
              <w:t xml:space="preserve"> κρίση περί </w:t>
            </w:r>
            <w:proofErr w:type="spellStart"/>
            <w:r w:rsidRPr="00A65F91">
              <w:rPr>
                <w:rFonts w:cs="Arial"/>
                <w:sz w:val="24"/>
                <w:szCs w:val="24"/>
              </w:rPr>
              <w:t>συναφείας</w:t>
            </w:r>
            <w:proofErr w:type="spellEnd"/>
            <w:r w:rsidRPr="00A65F91">
              <w:rPr>
                <w:rFonts w:cs="Arial"/>
                <w:sz w:val="24"/>
                <w:szCs w:val="24"/>
              </w:rPr>
              <w:t xml:space="preserve"> για την ίδια θέση  ή θέση με παρεμφερές  αντικείμενο σε σχέση με την επίδικη θέση καθόσον, δεν προσκομίζεται κανένα αποδεικτό στοιχείο περί αυτού [ </w:t>
            </w:r>
            <w:proofErr w:type="spellStart"/>
            <w:r w:rsidRPr="00A65F91">
              <w:rPr>
                <w:rFonts w:cs="Arial"/>
                <w:sz w:val="24"/>
                <w:szCs w:val="24"/>
              </w:rPr>
              <w:t>πρβλ</w:t>
            </w:r>
            <w:proofErr w:type="spellEnd"/>
            <w:r w:rsidRPr="00A65F91">
              <w:rPr>
                <w:rFonts w:cs="Arial"/>
                <w:sz w:val="24"/>
                <w:szCs w:val="24"/>
              </w:rPr>
              <w:t xml:space="preserve"> </w:t>
            </w:r>
            <w:proofErr w:type="spellStart"/>
            <w:r w:rsidRPr="00A65F91">
              <w:rPr>
                <w:rFonts w:cs="Arial"/>
                <w:sz w:val="24"/>
                <w:szCs w:val="24"/>
              </w:rPr>
              <w:t>ΣτΕ</w:t>
            </w:r>
            <w:proofErr w:type="spellEnd"/>
            <w:r w:rsidRPr="00A65F91">
              <w:rPr>
                <w:rFonts w:cs="Arial"/>
                <w:sz w:val="24"/>
                <w:szCs w:val="24"/>
              </w:rPr>
              <w:t xml:space="preserve">  1949/2023]</w:t>
            </w:r>
            <w:r w:rsidR="00E832D4" w:rsidRPr="00A65F91">
              <w:rPr>
                <w:rFonts w:cs="Arial"/>
                <w:sz w:val="24"/>
                <w:szCs w:val="24"/>
              </w:rPr>
              <w:t>.</w:t>
            </w:r>
            <w:r w:rsidRPr="00A65F91">
              <w:rPr>
                <w:rFonts w:cs="Arial"/>
                <w:sz w:val="24"/>
                <w:szCs w:val="24"/>
              </w:rPr>
              <w:t xml:space="preserve">  Περαιτέρω, </w:t>
            </w:r>
            <w:r w:rsidR="00E832D4" w:rsidRPr="00A65F91">
              <w:rPr>
                <w:rFonts w:cs="Arial"/>
                <w:sz w:val="24"/>
                <w:szCs w:val="24"/>
              </w:rPr>
              <w:t xml:space="preserve">κάθε κρίση περί </w:t>
            </w:r>
            <w:proofErr w:type="spellStart"/>
            <w:r w:rsidR="00E832D4" w:rsidRPr="00A65F91">
              <w:rPr>
                <w:rFonts w:cs="Arial"/>
                <w:sz w:val="24"/>
                <w:szCs w:val="24"/>
              </w:rPr>
              <w:t>συναφείας</w:t>
            </w:r>
            <w:proofErr w:type="spellEnd"/>
            <w:r w:rsidRPr="00A65F91">
              <w:rPr>
                <w:rFonts w:cs="Arial"/>
                <w:sz w:val="24"/>
                <w:szCs w:val="24"/>
              </w:rPr>
              <w:t xml:space="preserve"> σχετίζεται με το περίγραμμα της θέσης και  με  τις οικείες οργανικές διατάξεις οι οποίες  εντάσσουν  στις αρμοδιότητες τους επιχειρησιακούς στόχους  και τη διάρθρωση των οργανικών μονάδων  της συγκεκριμένης Γενικής Διεύθυνσης. Στην προκειμένη περίπτωση στο περιεχόμενο της εν λόγω Γενικής Διεύθυνσης  εντάσσονται </w:t>
            </w:r>
            <w:r w:rsidR="00E832D4" w:rsidRPr="00A65F91">
              <w:rPr>
                <w:rFonts w:cs="Arial"/>
                <w:sz w:val="24"/>
                <w:szCs w:val="24"/>
              </w:rPr>
              <w:t xml:space="preserve">  μέτρα</w:t>
            </w:r>
            <w:r w:rsidRPr="00A65F91">
              <w:rPr>
                <w:rFonts w:cs="Arial"/>
                <w:sz w:val="24"/>
                <w:szCs w:val="24"/>
              </w:rPr>
              <w:t>,</w:t>
            </w:r>
            <w:r w:rsidR="00E832D4" w:rsidRPr="00A65F91">
              <w:rPr>
                <w:rFonts w:cs="Arial"/>
                <w:sz w:val="24"/>
                <w:szCs w:val="24"/>
              </w:rPr>
              <w:t xml:space="preserve"> </w:t>
            </w:r>
            <w:r w:rsidRPr="00A65F91">
              <w:rPr>
                <w:rFonts w:cs="Arial"/>
                <w:sz w:val="24"/>
                <w:szCs w:val="24"/>
              </w:rPr>
              <w:t>δράσεις και πολιτικές που</w:t>
            </w:r>
            <w:r w:rsidR="00E832D4" w:rsidRPr="00A65F91">
              <w:rPr>
                <w:rFonts w:cs="Arial"/>
                <w:sz w:val="24"/>
                <w:szCs w:val="24"/>
              </w:rPr>
              <w:t xml:space="preserve"> αφορούν, μεταξύ άλλων</w:t>
            </w:r>
            <w:r w:rsidRPr="00A65F91">
              <w:rPr>
                <w:rFonts w:cs="Arial"/>
                <w:sz w:val="24"/>
                <w:szCs w:val="24"/>
              </w:rPr>
              <w:t>, τη</w:t>
            </w:r>
            <w:r w:rsidR="00E832D4" w:rsidRPr="00A65F91">
              <w:rPr>
                <w:rFonts w:cs="Arial"/>
                <w:sz w:val="24"/>
                <w:szCs w:val="24"/>
              </w:rPr>
              <w:t>ν</w:t>
            </w:r>
            <w:r w:rsidRPr="00A65F91">
              <w:rPr>
                <w:rFonts w:cs="Arial"/>
                <w:sz w:val="24"/>
                <w:szCs w:val="24"/>
              </w:rPr>
              <w:t xml:space="preserve"> </w:t>
            </w:r>
            <w:r w:rsidR="00E832D4" w:rsidRPr="00A65F91">
              <w:rPr>
                <w:rFonts w:cs="Arial"/>
                <w:sz w:val="24"/>
                <w:szCs w:val="24"/>
              </w:rPr>
              <w:t xml:space="preserve"> κατάρτιση του προϋπολογισμού και του μεσοπρόθεσμου </w:t>
            </w:r>
            <w:r w:rsidRPr="00A65F91">
              <w:rPr>
                <w:rFonts w:cs="Arial"/>
                <w:sz w:val="24"/>
                <w:szCs w:val="24"/>
              </w:rPr>
              <w:t>πλαι</w:t>
            </w:r>
            <w:r w:rsidR="00E832D4" w:rsidRPr="00A65F91">
              <w:rPr>
                <w:rFonts w:cs="Arial"/>
                <w:sz w:val="24"/>
                <w:szCs w:val="24"/>
              </w:rPr>
              <w:t>σίου δημοσιονομικής στρατηγικής</w:t>
            </w:r>
            <w:r w:rsidRPr="00A65F91">
              <w:rPr>
                <w:rFonts w:cs="Arial"/>
                <w:sz w:val="24"/>
                <w:szCs w:val="24"/>
              </w:rPr>
              <w:t>, την εκτέλ</w:t>
            </w:r>
            <w:r w:rsidR="00E832D4" w:rsidRPr="00A65F91">
              <w:rPr>
                <w:rFonts w:cs="Arial"/>
                <w:sz w:val="24"/>
                <w:szCs w:val="24"/>
              </w:rPr>
              <w:t>εση του τακτικού προϋπολογισμού</w:t>
            </w:r>
            <w:r w:rsidRPr="00A65F91">
              <w:rPr>
                <w:rFonts w:cs="Arial"/>
                <w:sz w:val="24"/>
                <w:szCs w:val="24"/>
              </w:rPr>
              <w:t>, την εκτέλεση του προγράμματος δημοσίων επενδύσ</w:t>
            </w:r>
            <w:r w:rsidR="00E832D4" w:rsidRPr="00A65F91">
              <w:rPr>
                <w:rFonts w:cs="Arial"/>
                <w:sz w:val="24"/>
                <w:szCs w:val="24"/>
              </w:rPr>
              <w:t>εων  την εκκαθάριση    αποδοχών</w:t>
            </w:r>
            <w:r w:rsidRPr="00A65F91">
              <w:rPr>
                <w:rFonts w:cs="Arial"/>
                <w:sz w:val="24"/>
                <w:szCs w:val="24"/>
              </w:rPr>
              <w:t xml:space="preserve">, την οικονομική εποπτεία των φορέων  γενικής κυβέρνησης και των ΔΕΚΟ  κλπ., δηλαδή   αρμοδιότητες κατεξοχήν οικονομικού-λογιστικού και δημοσιονομικού </w:t>
            </w:r>
            <w:r w:rsidR="00E832D4" w:rsidRPr="00A65F91">
              <w:rPr>
                <w:rFonts w:cs="Arial"/>
                <w:sz w:val="24"/>
                <w:szCs w:val="24"/>
              </w:rPr>
              <w:t xml:space="preserve"> περιεχομένου.</w:t>
            </w:r>
            <w:r w:rsidRPr="00A65F91">
              <w:rPr>
                <w:rFonts w:cs="Arial"/>
                <w:sz w:val="24"/>
                <w:szCs w:val="24"/>
              </w:rPr>
              <w:t xml:space="preserve"> Το  ανωτέρω περιεχόμενο δεν αποτέλεσε αντικείμενο του μεταπτυχιακού του διπλώματος  Εξάλλου,  ο ισχυρισμός του ότι είναι απαραίτητη  η γνώση   του πολιτικού κλπ.  πλαισίου των εθνικών και ευρωπαϊκών σπουδών, </w:t>
            </w:r>
            <w:r w:rsidR="00E832D4" w:rsidRPr="00A65F91">
              <w:rPr>
                <w:rFonts w:cs="Arial"/>
                <w:sz w:val="24"/>
                <w:szCs w:val="24"/>
              </w:rPr>
              <w:t>είναι απορριπτέος ως αλυσιτελής</w:t>
            </w:r>
            <w:r w:rsidRPr="00A65F91">
              <w:rPr>
                <w:rFonts w:cs="Arial"/>
                <w:sz w:val="24"/>
                <w:szCs w:val="24"/>
              </w:rPr>
              <w:t>.   Και αυτό γιατί  η συνάφεια του μεταπτυχιακού με τις αρμοδιότητες της θέσης κρίνεται με βάση το περίγραμμα της θέσης και το οργανόγραμμα του Υπουργείου</w:t>
            </w:r>
            <w:r w:rsidR="00E832D4" w:rsidRPr="00A65F91">
              <w:rPr>
                <w:rFonts w:cs="Arial"/>
                <w:sz w:val="24"/>
                <w:szCs w:val="24"/>
              </w:rPr>
              <w:t>. Ο ενιστάμενος</w:t>
            </w:r>
            <w:r w:rsidRPr="00A65F91">
              <w:rPr>
                <w:rFonts w:cs="Arial"/>
                <w:sz w:val="24"/>
                <w:szCs w:val="24"/>
              </w:rPr>
              <w:t xml:space="preserve"> έχει τη γνώση και μπορεί να παρακολουθήσει το οικονομικό πλαίσιο των  </w:t>
            </w:r>
            <w:r w:rsidR="00E832D4" w:rsidRPr="00A65F91">
              <w:rPr>
                <w:rFonts w:cs="Arial"/>
                <w:sz w:val="24"/>
                <w:szCs w:val="24"/>
              </w:rPr>
              <w:t>ευρωπαϊκών και διεθνών συνθηκών</w:t>
            </w:r>
            <w:r w:rsidRPr="00A65F91">
              <w:rPr>
                <w:rFonts w:cs="Arial"/>
                <w:sz w:val="24"/>
                <w:szCs w:val="24"/>
              </w:rPr>
              <w:t xml:space="preserve">, </w:t>
            </w:r>
            <w:r w:rsidR="00E832D4" w:rsidRPr="00A65F91">
              <w:rPr>
                <w:rFonts w:cs="Arial"/>
                <w:sz w:val="24"/>
                <w:szCs w:val="24"/>
              </w:rPr>
              <w:t xml:space="preserve">που αποτελεί μικρό μόνον μέρος </w:t>
            </w:r>
            <w:r w:rsidRPr="00A65F91">
              <w:rPr>
                <w:rFonts w:cs="Arial"/>
                <w:sz w:val="24"/>
                <w:szCs w:val="24"/>
              </w:rPr>
              <w:t>των καθη</w:t>
            </w:r>
            <w:r w:rsidR="00E832D4" w:rsidRPr="00A65F91">
              <w:rPr>
                <w:rFonts w:cs="Arial"/>
                <w:sz w:val="24"/>
                <w:szCs w:val="24"/>
              </w:rPr>
              <w:t xml:space="preserve">κόντων της </w:t>
            </w:r>
            <w:proofErr w:type="spellStart"/>
            <w:r w:rsidR="00E832D4" w:rsidRPr="00A65F91">
              <w:rPr>
                <w:rFonts w:cs="Arial"/>
                <w:sz w:val="24"/>
                <w:szCs w:val="24"/>
              </w:rPr>
              <w:t>προκηρυχθείσας</w:t>
            </w:r>
            <w:proofErr w:type="spellEnd"/>
            <w:r w:rsidR="00E832D4" w:rsidRPr="00A65F91">
              <w:rPr>
                <w:rFonts w:cs="Arial"/>
                <w:sz w:val="24"/>
                <w:szCs w:val="24"/>
              </w:rPr>
              <w:t xml:space="preserve"> θέσης</w:t>
            </w:r>
            <w:r w:rsidRPr="00A65F91">
              <w:rPr>
                <w:rFonts w:cs="Arial"/>
                <w:sz w:val="24"/>
                <w:szCs w:val="24"/>
              </w:rPr>
              <w:t>,  σε σχέση με τα λοιπά περιγραφόμενα καθήκοντα,</w:t>
            </w:r>
            <w:r w:rsidR="00E832D4" w:rsidRPr="00A65F91">
              <w:rPr>
                <w:rFonts w:cs="Arial"/>
                <w:sz w:val="24"/>
                <w:szCs w:val="24"/>
              </w:rPr>
              <w:t xml:space="preserve"> </w:t>
            </w:r>
            <w:r w:rsidRPr="00A65F91">
              <w:rPr>
                <w:rFonts w:cs="Arial"/>
                <w:sz w:val="24"/>
                <w:szCs w:val="24"/>
              </w:rPr>
              <w:t>όμως   τα εν γένει τα καθήκοντά του όπως προκύπτουν από το περίγραμμα τ</w:t>
            </w:r>
            <w:r w:rsidR="00E832D4" w:rsidRPr="00A65F91">
              <w:rPr>
                <w:rFonts w:cs="Arial"/>
                <w:sz w:val="24"/>
                <w:szCs w:val="24"/>
              </w:rPr>
              <w:t xml:space="preserve">ης θέσης και το οργανόγραμμα </w:t>
            </w:r>
            <w:r w:rsidRPr="00A65F91">
              <w:rPr>
                <w:rFonts w:cs="Arial"/>
                <w:sz w:val="24"/>
                <w:szCs w:val="24"/>
              </w:rPr>
              <w:t>δεν     αντιστοιχούν με τα μ</w:t>
            </w:r>
            <w:r w:rsidR="00E832D4" w:rsidRPr="00A65F91">
              <w:rPr>
                <w:rFonts w:cs="Arial"/>
                <w:sz w:val="24"/>
                <w:szCs w:val="24"/>
              </w:rPr>
              <w:t xml:space="preserve">αθήματα που διδάχθηκε </w:t>
            </w:r>
            <w:r w:rsidRPr="00A65F91">
              <w:rPr>
                <w:rFonts w:cs="Arial"/>
                <w:sz w:val="24"/>
                <w:szCs w:val="24"/>
              </w:rPr>
              <w:t>στο μεταπτυχιακό του  δίπλωμα</w:t>
            </w:r>
            <w:r w:rsidR="00E832D4" w:rsidRPr="00A65F91">
              <w:rPr>
                <w:rFonts w:cs="Arial"/>
                <w:sz w:val="24"/>
                <w:szCs w:val="24"/>
              </w:rPr>
              <w:t>.</w:t>
            </w:r>
            <w:r w:rsidRPr="00A65F91">
              <w:rPr>
                <w:rFonts w:cs="Arial"/>
                <w:sz w:val="24"/>
                <w:szCs w:val="24"/>
              </w:rPr>
              <w:t xml:space="preserve"> Κατά συνέπεια πρέπει να απορριφθεί η κρινόμενη ένσταση.</w:t>
            </w:r>
          </w:p>
        </w:tc>
      </w:tr>
      <w:tr w:rsidR="004117DC" w:rsidRPr="00A65F91" w:rsidTr="00204A55">
        <w:tc>
          <w:tcPr>
            <w:tcW w:w="675" w:type="dxa"/>
          </w:tcPr>
          <w:p w:rsidR="004A7509" w:rsidRPr="00A65F91" w:rsidRDefault="00204A55" w:rsidP="004117DC">
            <w:pPr>
              <w:spacing w:line="360" w:lineRule="atLeast"/>
              <w:jc w:val="both"/>
              <w:rPr>
                <w:b/>
                <w:sz w:val="24"/>
                <w:szCs w:val="24"/>
              </w:rPr>
            </w:pPr>
            <w:r w:rsidRPr="00A65F91">
              <w:rPr>
                <w:b/>
                <w:sz w:val="24"/>
                <w:szCs w:val="24"/>
              </w:rPr>
              <w:t xml:space="preserve">2. </w:t>
            </w:r>
          </w:p>
        </w:tc>
        <w:tc>
          <w:tcPr>
            <w:tcW w:w="4864" w:type="dxa"/>
          </w:tcPr>
          <w:p w:rsidR="004A7509" w:rsidRPr="00A65F91" w:rsidRDefault="00A65F91" w:rsidP="004117DC">
            <w:pPr>
              <w:spacing w:line="360" w:lineRule="atLeast"/>
              <w:jc w:val="both"/>
              <w:rPr>
                <w:b/>
                <w:sz w:val="24"/>
                <w:szCs w:val="24"/>
              </w:rPr>
            </w:pPr>
            <w:r w:rsidRPr="00A65F91">
              <w:rPr>
                <w:b/>
                <w:sz w:val="24"/>
                <w:szCs w:val="24"/>
              </w:rPr>
              <w:t>54934 ΕΙ 2024/16-14-2024</w:t>
            </w:r>
            <w:r>
              <w:rPr>
                <w:b/>
                <w:sz w:val="24"/>
                <w:szCs w:val="24"/>
              </w:rPr>
              <w:t xml:space="preserve"> ΒΟΚ</w:t>
            </w:r>
          </w:p>
        </w:tc>
        <w:tc>
          <w:tcPr>
            <w:tcW w:w="4208" w:type="dxa"/>
            <w:gridSpan w:val="2"/>
          </w:tcPr>
          <w:p w:rsidR="004A7509" w:rsidRPr="00B01D4E" w:rsidRDefault="00A65F91" w:rsidP="00A65F91">
            <w:pPr>
              <w:spacing w:line="360" w:lineRule="atLeast"/>
              <w:jc w:val="both"/>
              <w:rPr>
                <w:rFonts w:cs="Arial"/>
                <w:sz w:val="24"/>
                <w:szCs w:val="24"/>
              </w:rPr>
            </w:pPr>
            <w:r>
              <w:rPr>
                <w:rFonts w:cs="Arial"/>
                <w:sz w:val="24"/>
                <w:szCs w:val="24"/>
              </w:rPr>
              <w:t>Η</w:t>
            </w:r>
            <w:r w:rsidR="00E832D4" w:rsidRPr="00A65F91">
              <w:rPr>
                <w:rFonts w:cs="Arial"/>
                <w:sz w:val="24"/>
                <w:szCs w:val="24"/>
              </w:rPr>
              <w:t xml:space="preserve"> </w:t>
            </w:r>
            <w:proofErr w:type="spellStart"/>
            <w:r w:rsidR="00E832D4" w:rsidRPr="00A65F91">
              <w:rPr>
                <w:rFonts w:cs="Arial"/>
                <w:sz w:val="24"/>
                <w:szCs w:val="24"/>
              </w:rPr>
              <w:t>ενισταμένη</w:t>
            </w:r>
            <w:proofErr w:type="spellEnd"/>
            <w:r w:rsidR="00E832D4" w:rsidRPr="00A65F91">
              <w:rPr>
                <w:rFonts w:cs="Arial"/>
                <w:sz w:val="24"/>
                <w:szCs w:val="24"/>
              </w:rPr>
              <w:t xml:space="preserve"> π</w:t>
            </w:r>
            <w:r>
              <w:rPr>
                <w:rFonts w:cs="Arial"/>
                <w:sz w:val="24"/>
                <w:szCs w:val="24"/>
              </w:rPr>
              <w:t>ροσβάλλοντας τους  προσωρινούς πίνακες κατάταξης</w:t>
            </w:r>
            <w:r w:rsidR="00E832D4" w:rsidRPr="00A65F91">
              <w:rPr>
                <w:rFonts w:cs="Arial"/>
                <w:sz w:val="24"/>
                <w:szCs w:val="24"/>
              </w:rPr>
              <w:t>,  ισχυρίζεται  ότι   τα μεταπτυχιακά της  διπλώματα είναι συναφ</w:t>
            </w:r>
            <w:r>
              <w:rPr>
                <w:rFonts w:cs="Arial"/>
                <w:sz w:val="24"/>
                <w:szCs w:val="24"/>
              </w:rPr>
              <w:t>ή   με το αντικείμενο της θέσης</w:t>
            </w:r>
            <w:r w:rsidR="00E832D4" w:rsidRPr="00A65F91">
              <w:rPr>
                <w:rFonts w:cs="Arial"/>
                <w:sz w:val="24"/>
                <w:szCs w:val="24"/>
              </w:rPr>
              <w:t>. Έχουν γίνει  αποδεκτά ως συναφή   από τον φορέα στον οποίο υπηρετεί   κ</w:t>
            </w:r>
            <w:r>
              <w:rPr>
                <w:rFonts w:cs="Arial"/>
                <w:sz w:val="24"/>
                <w:szCs w:val="24"/>
              </w:rPr>
              <w:t xml:space="preserve">αι αναφέρονται ως τέτοια στην </w:t>
            </w:r>
            <w:r w:rsidR="00E832D4" w:rsidRPr="00A65F91">
              <w:rPr>
                <w:rFonts w:cs="Arial"/>
                <w:sz w:val="24"/>
                <w:szCs w:val="24"/>
              </w:rPr>
              <w:t xml:space="preserve">βεβαίωση ΥΠΟΙΚ29/042024 που εκδόθηκε  </w:t>
            </w:r>
            <w:r>
              <w:rPr>
                <w:rFonts w:cs="Arial"/>
                <w:sz w:val="24"/>
                <w:szCs w:val="24"/>
              </w:rPr>
              <w:t xml:space="preserve"> για τη βεβαίωση στοιχείων της</w:t>
            </w:r>
            <w:r w:rsidR="00E832D4" w:rsidRPr="00A65F91">
              <w:rPr>
                <w:rFonts w:cs="Arial"/>
                <w:sz w:val="24"/>
                <w:szCs w:val="24"/>
              </w:rPr>
              <w:t xml:space="preserve"> για την προκειμένη διαδικασία</w:t>
            </w:r>
            <w:r>
              <w:rPr>
                <w:rFonts w:cs="Arial"/>
                <w:sz w:val="24"/>
                <w:szCs w:val="24"/>
              </w:rPr>
              <w:t>.</w:t>
            </w:r>
            <w:r w:rsidR="00E832D4" w:rsidRPr="00A65F91">
              <w:rPr>
                <w:rFonts w:cs="Arial"/>
                <w:sz w:val="24"/>
                <w:szCs w:val="24"/>
              </w:rPr>
              <w:t xml:space="preserve">  Ειδικότερα το μεταπτυχιακό της δίπλωμα  στη Διοίκηση Υπηρεσιών  εντάσσεται στη θεματική κατηγορία   Οικονομία και Διοί</w:t>
            </w:r>
            <w:r>
              <w:rPr>
                <w:rFonts w:cs="Arial"/>
                <w:sz w:val="24"/>
                <w:szCs w:val="24"/>
              </w:rPr>
              <w:t>κηση  που διεξάγεται από το ΟΠΑ</w:t>
            </w:r>
            <w:r w:rsidR="00E832D4" w:rsidRPr="00A65F91">
              <w:rPr>
                <w:rFonts w:cs="Arial"/>
                <w:sz w:val="24"/>
                <w:szCs w:val="24"/>
              </w:rPr>
              <w:t>,</w:t>
            </w:r>
            <w:r>
              <w:rPr>
                <w:rFonts w:cs="Arial"/>
                <w:sz w:val="24"/>
                <w:szCs w:val="24"/>
              </w:rPr>
              <w:t xml:space="preserve"> </w:t>
            </w:r>
            <w:r w:rsidR="00E832D4" w:rsidRPr="00A65F91">
              <w:rPr>
                <w:rFonts w:cs="Arial"/>
                <w:sz w:val="24"/>
                <w:szCs w:val="24"/>
              </w:rPr>
              <w:t xml:space="preserve">τη </w:t>
            </w:r>
            <w:r>
              <w:rPr>
                <w:rFonts w:cs="Arial"/>
                <w:sz w:val="24"/>
                <w:szCs w:val="24"/>
              </w:rPr>
              <w:t>Σχολή Διοίκησης Επιχειρήσεων</w:t>
            </w:r>
            <w:r w:rsidR="00E832D4" w:rsidRPr="00A65F91">
              <w:rPr>
                <w:rFonts w:cs="Arial"/>
                <w:sz w:val="24"/>
                <w:szCs w:val="24"/>
              </w:rPr>
              <w:t>, τμήμα Οργάνω</w:t>
            </w:r>
            <w:r>
              <w:rPr>
                <w:rFonts w:cs="Arial"/>
                <w:sz w:val="24"/>
                <w:szCs w:val="24"/>
              </w:rPr>
              <w:t xml:space="preserve">σης και Διοίκησης Επιχειρήσεων </w:t>
            </w:r>
            <w:r w:rsidR="00E832D4" w:rsidRPr="00A65F91">
              <w:rPr>
                <w:rFonts w:cs="Arial"/>
                <w:sz w:val="24"/>
                <w:szCs w:val="24"/>
              </w:rPr>
              <w:t>, τα μαθή</w:t>
            </w:r>
            <w:r>
              <w:rPr>
                <w:rFonts w:cs="Arial"/>
                <w:sz w:val="24"/>
                <w:szCs w:val="24"/>
              </w:rPr>
              <w:t xml:space="preserve">ματα της οποίας περιλαμβάνουν λογιστική </w:t>
            </w:r>
            <w:r w:rsidR="00E832D4" w:rsidRPr="00A65F91">
              <w:rPr>
                <w:rFonts w:cs="Arial"/>
                <w:sz w:val="24"/>
                <w:szCs w:val="24"/>
              </w:rPr>
              <w:t>και χρηματοοικονομική   ανάλυση, Διοίκηση Ανθρωπίνου Δυναμικού,</w:t>
            </w:r>
            <w:r>
              <w:rPr>
                <w:rFonts w:cs="Arial"/>
                <w:sz w:val="24"/>
                <w:szCs w:val="24"/>
              </w:rPr>
              <w:t xml:space="preserve"> Ηγεσία στις Διαπραγματεύσεις σε Οργανισμούς</w:t>
            </w:r>
            <w:r w:rsidR="00E832D4" w:rsidRPr="00A65F91">
              <w:rPr>
                <w:rFonts w:cs="Arial"/>
                <w:sz w:val="24"/>
                <w:szCs w:val="24"/>
              </w:rPr>
              <w:t>, Σχεδιασμό και Στρα</w:t>
            </w:r>
            <w:r>
              <w:rPr>
                <w:rFonts w:cs="Arial"/>
                <w:sz w:val="24"/>
                <w:szCs w:val="24"/>
              </w:rPr>
              <w:t>τηγική</w:t>
            </w:r>
            <w:r w:rsidR="00E832D4" w:rsidRPr="00A65F91">
              <w:rPr>
                <w:rFonts w:cs="Arial"/>
                <w:sz w:val="24"/>
                <w:szCs w:val="24"/>
              </w:rPr>
              <w:t>.</w:t>
            </w:r>
            <w:r>
              <w:rPr>
                <w:rFonts w:cs="Arial"/>
                <w:sz w:val="24"/>
                <w:szCs w:val="24"/>
              </w:rPr>
              <w:t xml:space="preserve"> </w:t>
            </w:r>
            <w:r w:rsidR="00E832D4" w:rsidRPr="00A65F91">
              <w:rPr>
                <w:rFonts w:cs="Arial"/>
                <w:sz w:val="24"/>
                <w:szCs w:val="24"/>
              </w:rPr>
              <w:t>Επίση</w:t>
            </w:r>
            <w:r>
              <w:rPr>
                <w:rFonts w:cs="Arial"/>
                <w:sz w:val="24"/>
                <w:szCs w:val="24"/>
              </w:rPr>
              <w:t xml:space="preserve">ς το μεταπτυχιακό της δίπλωμα </w:t>
            </w:r>
            <w:r w:rsidR="00E832D4" w:rsidRPr="00A65F91">
              <w:rPr>
                <w:rFonts w:cs="Arial"/>
                <w:sz w:val="24"/>
                <w:szCs w:val="24"/>
              </w:rPr>
              <w:t xml:space="preserve">σε </w:t>
            </w:r>
            <w:r w:rsidR="00E832D4" w:rsidRPr="00A65F91">
              <w:rPr>
                <w:rFonts w:cs="Arial"/>
                <w:sz w:val="24"/>
                <w:szCs w:val="24"/>
                <w:lang w:val="en-US"/>
              </w:rPr>
              <w:t>international</w:t>
            </w:r>
            <w:r>
              <w:rPr>
                <w:rFonts w:cs="Arial"/>
                <w:sz w:val="24"/>
                <w:szCs w:val="24"/>
              </w:rPr>
              <w:t xml:space="preserve"> </w:t>
            </w:r>
            <w:r w:rsidR="00E832D4" w:rsidRPr="00A65F91">
              <w:rPr>
                <w:rFonts w:cs="Arial"/>
                <w:sz w:val="24"/>
                <w:szCs w:val="24"/>
                <w:lang w:val="en-US"/>
              </w:rPr>
              <w:t>Conflict</w:t>
            </w:r>
            <w:r>
              <w:rPr>
                <w:rFonts w:cs="Arial"/>
                <w:sz w:val="24"/>
                <w:szCs w:val="24"/>
              </w:rPr>
              <w:t xml:space="preserve"> </w:t>
            </w:r>
            <w:r w:rsidR="00E832D4" w:rsidRPr="00A65F91">
              <w:rPr>
                <w:rFonts w:cs="Arial"/>
                <w:sz w:val="24"/>
                <w:szCs w:val="24"/>
                <w:lang w:val="en-US"/>
              </w:rPr>
              <w:t>Analysis</w:t>
            </w:r>
            <w:r w:rsidR="00E832D4" w:rsidRPr="00A65F91">
              <w:rPr>
                <w:rFonts w:cs="Arial"/>
                <w:sz w:val="24"/>
                <w:szCs w:val="24"/>
              </w:rPr>
              <w:t xml:space="preserve"> εντάσσεται  στη θεματική κατηγορία  των διεθνών σχέσεων   και ε</w:t>
            </w:r>
            <w:r>
              <w:rPr>
                <w:rFonts w:cs="Arial"/>
                <w:sz w:val="24"/>
                <w:szCs w:val="24"/>
              </w:rPr>
              <w:t xml:space="preserve">κτός από τη διαχείριση κρίσεων </w:t>
            </w:r>
            <w:r w:rsidR="00E832D4" w:rsidRPr="00A65F91">
              <w:rPr>
                <w:rFonts w:cs="Arial"/>
                <w:sz w:val="24"/>
                <w:szCs w:val="24"/>
              </w:rPr>
              <w:t>που κατέστη αναγκαία δεξιότητα  κατά την περίοδο  της οικονομικής και υγειονομικ</w:t>
            </w:r>
            <w:r>
              <w:rPr>
                <w:rFonts w:cs="Arial"/>
                <w:sz w:val="24"/>
                <w:szCs w:val="24"/>
              </w:rPr>
              <w:t xml:space="preserve">ής κρίσης, </w:t>
            </w:r>
            <w:r w:rsidR="00E832D4" w:rsidRPr="00A65F91">
              <w:rPr>
                <w:rFonts w:cs="Arial"/>
                <w:sz w:val="24"/>
                <w:szCs w:val="24"/>
              </w:rPr>
              <w:t>συμπεριλαμβάνει  μαθήματα</w:t>
            </w:r>
            <w:r>
              <w:rPr>
                <w:rFonts w:cs="Arial"/>
                <w:sz w:val="24"/>
                <w:szCs w:val="24"/>
              </w:rPr>
              <w:t xml:space="preserve"> </w:t>
            </w:r>
            <w:r w:rsidR="00E832D4" w:rsidRPr="00A65F91">
              <w:rPr>
                <w:rFonts w:cs="Arial"/>
                <w:sz w:val="24"/>
                <w:szCs w:val="24"/>
              </w:rPr>
              <w:t>,όπως η διαπραγμάτευση</w:t>
            </w:r>
            <w:r>
              <w:rPr>
                <w:rFonts w:cs="Arial"/>
                <w:sz w:val="24"/>
                <w:szCs w:val="24"/>
              </w:rPr>
              <w:t xml:space="preserve">   με ξένους   και ευρωπαϊκούς</w:t>
            </w:r>
            <w:r w:rsidR="00E832D4" w:rsidRPr="00A65F91">
              <w:rPr>
                <w:rFonts w:cs="Arial"/>
                <w:sz w:val="24"/>
                <w:szCs w:val="24"/>
              </w:rPr>
              <w:t xml:space="preserve"> φορείς, διεθνείς οργανισμούς όπως ο ΟΟΣΑ  και η ΕΕ, που επίσης είναι συνα</w:t>
            </w:r>
            <w:r>
              <w:rPr>
                <w:rFonts w:cs="Arial"/>
                <w:sz w:val="24"/>
                <w:szCs w:val="24"/>
              </w:rPr>
              <w:t>φή με το περίγραμμα της θέσης</w:t>
            </w:r>
            <w:r w:rsidR="00E832D4" w:rsidRPr="00A65F91">
              <w:rPr>
                <w:rFonts w:cs="Arial"/>
                <w:sz w:val="24"/>
                <w:szCs w:val="24"/>
              </w:rPr>
              <w:t>.</w:t>
            </w:r>
            <w:r>
              <w:rPr>
                <w:rFonts w:cs="Arial"/>
                <w:sz w:val="24"/>
                <w:szCs w:val="24"/>
              </w:rPr>
              <w:t xml:space="preserve"> Όμως, η  </w:t>
            </w:r>
            <w:proofErr w:type="spellStart"/>
            <w:r>
              <w:rPr>
                <w:rFonts w:cs="Arial"/>
                <w:sz w:val="24"/>
                <w:szCs w:val="24"/>
              </w:rPr>
              <w:t>ενισταμένη</w:t>
            </w:r>
            <w:proofErr w:type="spellEnd"/>
            <w:r w:rsidR="00E832D4" w:rsidRPr="00A65F91">
              <w:rPr>
                <w:rFonts w:cs="Arial"/>
                <w:sz w:val="24"/>
                <w:szCs w:val="24"/>
              </w:rPr>
              <w:t xml:space="preserve"> με την ένστασή της δεν προσκομίζει </w:t>
            </w:r>
            <w:r>
              <w:rPr>
                <w:rFonts w:cs="Arial"/>
                <w:sz w:val="24"/>
                <w:szCs w:val="24"/>
              </w:rPr>
              <w:t>πρόσφορα στοιχεία</w:t>
            </w:r>
            <w:r w:rsidR="00E832D4" w:rsidRPr="00A65F91">
              <w:rPr>
                <w:rFonts w:cs="Arial"/>
                <w:sz w:val="24"/>
                <w:szCs w:val="24"/>
              </w:rPr>
              <w:t xml:space="preserve"> για την υποστήριξη των ισχ</w:t>
            </w:r>
            <w:r>
              <w:rPr>
                <w:rFonts w:cs="Arial"/>
                <w:sz w:val="24"/>
                <w:szCs w:val="24"/>
              </w:rPr>
              <w:t xml:space="preserve">υρισμών της περί συνάφειας των </w:t>
            </w:r>
            <w:r w:rsidR="00E832D4" w:rsidRPr="00A65F91">
              <w:rPr>
                <w:rFonts w:cs="Arial"/>
                <w:sz w:val="24"/>
                <w:szCs w:val="24"/>
              </w:rPr>
              <w:t>μεταπτυχιακών της τ</w:t>
            </w:r>
            <w:r>
              <w:rPr>
                <w:rFonts w:cs="Arial"/>
                <w:sz w:val="24"/>
                <w:szCs w:val="24"/>
              </w:rPr>
              <w:t>ίτλων  με  την υπό πλήρωση θέση</w:t>
            </w:r>
            <w:r w:rsidR="00E832D4" w:rsidRPr="00A65F91">
              <w:rPr>
                <w:rFonts w:cs="Arial"/>
                <w:sz w:val="24"/>
                <w:szCs w:val="24"/>
              </w:rPr>
              <w:t>.</w:t>
            </w:r>
            <w:r>
              <w:rPr>
                <w:rFonts w:cs="Arial"/>
                <w:sz w:val="24"/>
                <w:szCs w:val="24"/>
              </w:rPr>
              <w:t xml:space="preserve"> </w:t>
            </w:r>
            <w:r w:rsidR="00E832D4" w:rsidRPr="00A65F91">
              <w:rPr>
                <w:rFonts w:cs="Arial"/>
                <w:sz w:val="24"/>
                <w:szCs w:val="24"/>
              </w:rPr>
              <w:t>Εν συνεχεία και ανεξαρτήτως του ότι προκειμένου να συναχθεί η</w:t>
            </w:r>
            <w:r>
              <w:rPr>
                <w:rFonts w:cs="Arial"/>
                <w:sz w:val="24"/>
                <w:szCs w:val="24"/>
              </w:rPr>
              <w:t xml:space="preserve"> συνάφεια  δεν αρκεί η αναφορά στον τίτλο του μεταπτυχιακού </w:t>
            </w:r>
            <w:r w:rsidR="00E832D4" w:rsidRPr="00A65F91">
              <w:rPr>
                <w:rFonts w:cs="Arial"/>
                <w:sz w:val="24"/>
                <w:szCs w:val="24"/>
              </w:rPr>
              <w:t xml:space="preserve">διπλώματος [ΣτΕ209/2024 σκ.19], από τους  ίδιους   τους τίτλους   των </w:t>
            </w:r>
            <w:r>
              <w:rPr>
                <w:rFonts w:cs="Arial"/>
                <w:sz w:val="24"/>
                <w:szCs w:val="24"/>
              </w:rPr>
              <w:t xml:space="preserve"> μεταπτυχιακών της  διπλωμάτων</w:t>
            </w:r>
            <w:r w:rsidR="00E832D4" w:rsidRPr="00A65F91">
              <w:rPr>
                <w:rFonts w:cs="Arial"/>
                <w:sz w:val="24"/>
                <w:szCs w:val="24"/>
              </w:rPr>
              <w:t>, ό</w:t>
            </w:r>
            <w:r>
              <w:rPr>
                <w:rFonts w:cs="Arial"/>
                <w:sz w:val="24"/>
                <w:szCs w:val="24"/>
              </w:rPr>
              <w:t xml:space="preserve">πως τους αναφέρει η </w:t>
            </w:r>
            <w:proofErr w:type="spellStart"/>
            <w:r>
              <w:rPr>
                <w:rFonts w:cs="Arial"/>
                <w:sz w:val="24"/>
                <w:szCs w:val="24"/>
              </w:rPr>
              <w:t>ενισταμένη</w:t>
            </w:r>
            <w:proofErr w:type="spellEnd"/>
            <w:r w:rsidR="00E832D4" w:rsidRPr="00A65F91">
              <w:rPr>
                <w:rFonts w:cs="Arial"/>
                <w:sz w:val="24"/>
                <w:szCs w:val="24"/>
              </w:rPr>
              <w:t>,</w:t>
            </w:r>
            <w:r>
              <w:rPr>
                <w:rFonts w:cs="Arial"/>
                <w:sz w:val="24"/>
                <w:szCs w:val="24"/>
              </w:rPr>
              <w:t xml:space="preserve"> δεν προκύπτει ότι</w:t>
            </w:r>
            <w:r w:rsidR="00E832D4" w:rsidRPr="00A65F91">
              <w:rPr>
                <w:rFonts w:cs="Arial"/>
                <w:sz w:val="24"/>
                <w:szCs w:val="24"/>
              </w:rPr>
              <w:t xml:space="preserve"> είναι συναφείς   με  το  αντικείμενο της </w:t>
            </w:r>
            <w:proofErr w:type="spellStart"/>
            <w:r w:rsidR="00E832D4" w:rsidRPr="00A65F91">
              <w:rPr>
                <w:rFonts w:cs="Arial"/>
                <w:sz w:val="24"/>
                <w:szCs w:val="24"/>
              </w:rPr>
              <w:t>προκηρυχθείσης</w:t>
            </w:r>
            <w:proofErr w:type="spellEnd"/>
            <w:r w:rsidR="00E832D4" w:rsidRPr="00A65F91">
              <w:rPr>
                <w:rFonts w:cs="Arial"/>
                <w:sz w:val="24"/>
                <w:szCs w:val="24"/>
              </w:rPr>
              <w:t xml:space="preserve"> θέσεως που έχει απολύτως οικονομικό περιε</w:t>
            </w:r>
            <w:r w:rsidR="00B01D4E">
              <w:rPr>
                <w:rFonts w:cs="Arial"/>
                <w:sz w:val="24"/>
                <w:szCs w:val="24"/>
              </w:rPr>
              <w:t>χόμενο .  Για το σκοπό αυτόν δεν προσκομίζονται,  όπως θα έπρεπε</w:t>
            </w:r>
            <w:r w:rsidR="00E832D4" w:rsidRPr="00A65F91">
              <w:rPr>
                <w:rFonts w:cs="Arial"/>
                <w:sz w:val="24"/>
                <w:szCs w:val="24"/>
              </w:rPr>
              <w:t>,</w:t>
            </w:r>
            <w:r w:rsidR="00B01D4E">
              <w:rPr>
                <w:rFonts w:cs="Arial"/>
                <w:sz w:val="24"/>
                <w:szCs w:val="24"/>
              </w:rPr>
              <w:t xml:space="preserve"> </w:t>
            </w:r>
            <w:r w:rsidR="00E832D4" w:rsidRPr="00A65F91">
              <w:rPr>
                <w:rFonts w:cs="Arial"/>
                <w:sz w:val="24"/>
                <w:szCs w:val="24"/>
              </w:rPr>
              <w:t>αποδεικτικά στο</w:t>
            </w:r>
            <w:r w:rsidR="00B01D4E">
              <w:rPr>
                <w:rFonts w:cs="Arial"/>
                <w:sz w:val="24"/>
                <w:szCs w:val="24"/>
              </w:rPr>
              <w:t>ιχεία  σχετικά με τις ενότητες των διδασκομένων μαθημάτων στα συγκεκριμένα μεταπτυχιακά προγράμματα</w:t>
            </w:r>
            <w:r w:rsidR="00E832D4" w:rsidRPr="00A65F91">
              <w:rPr>
                <w:rFonts w:cs="Arial"/>
                <w:sz w:val="24"/>
                <w:szCs w:val="24"/>
              </w:rPr>
              <w:t>.</w:t>
            </w:r>
            <w:r w:rsidR="00B01D4E">
              <w:rPr>
                <w:rFonts w:cs="Arial"/>
                <w:sz w:val="24"/>
                <w:szCs w:val="24"/>
              </w:rPr>
              <w:t xml:space="preserve"> </w:t>
            </w:r>
            <w:r w:rsidR="00E832D4" w:rsidRPr="00A65F91">
              <w:rPr>
                <w:rFonts w:cs="Arial"/>
                <w:sz w:val="24"/>
                <w:szCs w:val="24"/>
              </w:rPr>
              <w:t>Η κρίση αυτή  περί έλλειψης συνάφειας,    σχετίζεται με  τις οικείες οργανικές</w:t>
            </w:r>
            <w:r w:rsidR="00B01D4E">
              <w:rPr>
                <w:rFonts w:cs="Arial"/>
                <w:sz w:val="24"/>
                <w:szCs w:val="24"/>
              </w:rPr>
              <w:t xml:space="preserve"> διατάξεις οι οποίες  εντάσσουν</w:t>
            </w:r>
            <w:r w:rsidR="00E832D4" w:rsidRPr="00A65F91">
              <w:rPr>
                <w:rFonts w:cs="Arial"/>
                <w:sz w:val="24"/>
                <w:szCs w:val="24"/>
              </w:rPr>
              <w:t xml:space="preserve"> στις αρμοδιότητες τους επιχειρησιακούς στόχους  και τη διάρθρωση των οργανικών μονάδων  της συγκεκριμ</w:t>
            </w:r>
            <w:r w:rsidR="00B01D4E">
              <w:rPr>
                <w:rFonts w:cs="Arial"/>
                <w:sz w:val="24"/>
                <w:szCs w:val="24"/>
              </w:rPr>
              <w:t>ένης Γενικής Διεύθυνσης,  μέτρα</w:t>
            </w:r>
            <w:r w:rsidR="00E832D4" w:rsidRPr="00A65F91">
              <w:rPr>
                <w:rFonts w:cs="Arial"/>
                <w:sz w:val="24"/>
                <w:szCs w:val="24"/>
              </w:rPr>
              <w:t>,</w:t>
            </w:r>
            <w:r w:rsidR="00B01D4E">
              <w:rPr>
                <w:rFonts w:cs="Arial"/>
                <w:sz w:val="24"/>
                <w:szCs w:val="24"/>
              </w:rPr>
              <w:t xml:space="preserve"> </w:t>
            </w:r>
            <w:r w:rsidR="00E832D4" w:rsidRPr="00A65F91">
              <w:rPr>
                <w:rFonts w:cs="Arial"/>
                <w:sz w:val="24"/>
                <w:szCs w:val="24"/>
              </w:rPr>
              <w:t xml:space="preserve">δράσεις και πολιτικές που </w:t>
            </w:r>
            <w:r w:rsidR="00B01D4E">
              <w:rPr>
                <w:rFonts w:cs="Arial"/>
                <w:sz w:val="24"/>
                <w:szCs w:val="24"/>
              </w:rPr>
              <w:t>αφορούν, μεταξύ άλλων</w:t>
            </w:r>
            <w:r w:rsidR="00E832D4" w:rsidRPr="00A65F91">
              <w:rPr>
                <w:rFonts w:cs="Arial"/>
                <w:sz w:val="24"/>
                <w:szCs w:val="24"/>
              </w:rPr>
              <w:t>, τη την κατάρτιση του προϋπολ</w:t>
            </w:r>
            <w:r w:rsidR="00B01D4E">
              <w:rPr>
                <w:rFonts w:cs="Arial"/>
                <w:sz w:val="24"/>
                <w:szCs w:val="24"/>
              </w:rPr>
              <w:t xml:space="preserve">ογισμού  και του μεσοπρόθεσμου </w:t>
            </w:r>
            <w:r w:rsidR="00E832D4" w:rsidRPr="00A65F91">
              <w:rPr>
                <w:rFonts w:cs="Arial"/>
                <w:sz w:val="24"/>
                <w:szCs w:val="24"/>
              </w:rPr>
              <w:t>πλαι</w:t>
            </w:r>
            <w:r w:rsidR="00B01D4E">
              <w:rPr>
                <w:rFonts w:cs="Arial"/>
                <w:sz w:val="24"/>
                <w:szCs w:val="24"/>
              </w:rPr>
              <w:t>σίου δημοσιονομικής στρατηγικής</w:t>
            </w:r>
            <w:r w:rsidR="00E832D4" w:rsidRPr="00A65F91">
              <w:rPr>
                <w:rFonts w:cs="Arial"/>
                <w:sz w:val="24"/>
                <w:szCs w:val="24"/>
              </w:rPr>
              <w:t>, την εκτέλ</w:t>
            </w:r>
            <w:r w:rsidR="00B01D4E">
              <w:rPr>
                <w:rFonts w:cs="Arial"/>
                <w:sz w:val="24"/>
                <w:szCs w:val="24"/>
              </w:rPr>
              <w:t>εση του τακτικού προϋπολογισμού</w:t>
            </w:r>
            <w:r w:rsidR="00E832D4" w:rsidRPr="00A65F91">
              <w:rPr>
                <w:rFonts w:cs="Arial"/>
                <w:sz w:val="24"/>
                <w:szCs w:val="24"/>
              </w:rPr>
              <w:t>, την εκτέλεση του προγράμματος δημοσί</w:t>
            </w:r>
            <w:r w:rsidR="00B01D4E">
              <w:rPr>
                <w:rFonts w:cs="Arial"/>
                <w:sz w:val="24"/>
                <w:szCs w:val="24"/>
              </w:rPr>
              <w:t>ων επενδύσεων  την εκκαθάριση αποδοχών</w:t>
            </w:r>
            <w:r w:rsidR="00E832D4" w:rsidRPr="00A65F91">
              <w:rPr>
                <w:rFonts w:cs="Arial"/>
                <w:sz w:val="24"/>
                <w:szCs w:val="24"/>
              </w:rPr>
              <w:t>, την οικονομική εποπτεία των φορέων  γενικής κυβέρνησης και</w:t>
            </w:r>
            <w:r w:rsidR="00B01D4E">
              <w:rPr>
                <w:rFonts w:cs="Arial"/>
                <w:sz w:val="24"/>
                <w:szCs w:val="24"/>
              </w:rPr>
              <w:t xml:space="preserve"> των ΔΕΚΟ  κλπ., δηλαδή αρμοδιότητες κατεξοχήν οικονομικού </w:t>
            </w:r>
            <w:r w:rsidR="00E832D4" w:rsidRPr="00A65F91">
              <w:rPr>
                <w:rFonts w:cs="Arial"/>
                <w:sz w:val="24"/>
                <w:szCs w:val="24"/>
              </w:rPr>
              <w:t>–</w:t>
            </w:r>
            <w:r w:rsidR="00B01D4E">
              <w:rPr>
                <w:rFonts w:cs="Arial"/>
                <w:sz w:val="24"/>
                <w:szCs w:val="24"/>
              </w:rPr>
              <w:t xml:space="preserve"> </w:t>
            </w:r>
            <w:r w:rsidR="00E832D4" w:rsidRPr="00A65F91">
              <w:rPr>
                <w:rFonts w:cs="Arial"/>
                <w:sz w:val="24"/>
                <w:szCs w:val="24"/>
              </w:rPr>
              <w:t>λογιστικού και δημοσιονομικού περιεχομένου</w:t>
            </w:r>
            <w:r w:rsidR="00B01D4E">
              <w:rPr>
                <w:rFonts w:cs="Arial"/>
                <w:sz w:val="24"/>
                <w:szCs w:val="24"/>
              </w:rPr>
              <w:t>.</w:t>
            </w:r>
            <w:r w:rsidR="00E832D4" w:rsidRPr="00A65F91">
              <w:rPr>
                <w:rFonts w:cs="Arial"/>
                <w:sz w:val="24"/>
                <w:szCs w:val="24"/>
              </w:rPr>
              <w:t xml:space="preserve">  Τέλος, ο ισ</w:t>
            </w:r>
            <w:r w:rsidR="00B01D4E">
              <w:rPr>
                <w:rFonts w:cs="Arial"/>
                <w:sz w:val="24"/>
                <w:szCs w:val="24"/>
              </w:rPr>
              <w:t xml:space="preserve">χυρισμός της </w:t>
            </w:r>
            <w:proofErr w:type="spellStart"/>
            <w:r w:rsidR="00B01D4E">
              <w:rPr>
                <w:rFonts w:cs="Arial"/>
                <w:sz w:val="24"/>
                <w:szCs w:val="24"/>
              </w:rPr>
              <w:t>ενισταμένης</w:t>
            </w:r>
            <w:proofErr w:type="spellEnd"/>
            <w:r w:rsidR="00B01D4E">
              <w:rPr>
                <w:rFonts w:cs="Arial"/>
                <w:sz w:val="24"/>
                <w:szCs w:val="24"/>
              </w:rPr>
              <w:t xml:space="preserve"> ότι τα διπλώματά της </w:t>
            </w:r>
            <w:r w:rsidR="00E832D4" w:rsidRPr="00A65F91">
              <w:rPr>
                <w:rFonts w:cs="Arial"/>
                <w:sz w:val="24"/>
                <w:szCs w:val="24"/>
              </w:rPr>
              <w:t>έχουν  κριθεί ως σ</w:t>
            </w:r>
            <w:r w:rsidR="00B01D4E">
              <w:rPr>
                <w:rFonts w:cs="Arial"/>
                <w:sz w:val="24"/>
                <w:szCs w:val="24"/>
              </w:rPr>
              <w:t>υναφή    από την υπηρεσία της ως προς τα αντικείμενα</w:t>
            </w:r>
            <w:r w:rsidR="00E832D4" w:rsidRPr="00A65F91">
              <w:rPr>
                <w:rFonts w:cs="Arial"/>
                <w:sz w:val="24"/>
                <w:szCs w:val="24"/>
              </w:rPr>
              <w:t xml:space="preserve"> με τα οποία  είναι δυνατόν</w:t>
            </w:r>
            <w:r w:rsidR="00B01D4E">
              <w:rPr>
                <w:rFonts w:cs="Arial"/>
                <w:sz w:val="24"/>
                <w:szCs w:val="24"/>
              </w:rPr>
              <w:t xml:space="preserve">  κατά τι οργανικές διατάξεις της Υπηρεσία</w:t>
            </w:r>
            <w:r w:rsidR="00E832D4" w:rsidRPr="00A65F91">
              <w:rPr>
                <w:rFonts w:cs="Arial"/>
                <w:sz w:val="24"/>
                <w:szCs w:val="24"/>
              </w:rPr>
              <w:t xml:space="preserve">ς να απασχοληθεί, πρέπει να απορριφθεί ως αβάσιμος.   Και αυτό γιατί από  τη διάταξη της </w:t>
            </w:r>
            <w:proofErr w:type="spellStart"/>
            <w:r w:rsidR="00E832D4" w:rsidRPr="00A65F91">
              <w:rPr>
                <w:rFonts w:cs="Arial"/>
                <w:sz w:val="24"/>
                <w:szCs w:val="24"/>
              </w:rPr>
              <w:t>περ</w:t>
            </w:r>
            <w:proofErr w:type="spellEnd"/>
            <w:r w:rsidR="00E832D4" w:rsidRPr="00A65F91">
              <w:rPr>
                <w:rFonts w:cs="Arial"/>
                <w:sz w:val="24"/>
                <w:szCs w:val="24"/>
              </w:rPr>
              <w:t xml:space="preserve">. </w:t>
            </w:r>
            <w:proofErr w:type="spellStart"/>
            <w:r w:rsidR="00E832D4" w:rsidRPr="00A65F91">
              <w:rPr>
                <w:rFonts w:cs="Arial"/>
                <w:sz w:val="24"/>
                <w:szCs w:val="24"/>
              </w:rPr>
              <w:t>στ΄</w:t>
            </w:r>
            <w:proofErr w:type="spellEnd"/>
            <w:r w:rsidR="00E832D4" w:rsidRPr="00A65F91">
              <w:rPr>
                <w:rFonts w:cs="Arial"/>
                <w:sz w:val="24"/>
                <w:szCs w:val="24"/>
              </w:rPr>
              <w:t xml:space="preserve"> της παρ.</w:t>
            </w:r>
            <w:r w:rsidR="00B01D4E">
              <w:rPr>
                <w:rFonts w:cs="Arial"/>
                <w:sz w:val="24"/>
                <w:szCs w:val="24"/>
              </w:rPr>
              <w:t xml:space="preserve"> 3 </w:t>
            </w:r>
            <w:r w:rsidR="00E832D4" w:rsidRPr="00A65F91">
              <w:rPr>
                <w:rFonts w:cs="Arial"/>
                <w:sz w:val="24"/>
                <w:szCs w:val="24"/>
              </w:rPr>
              <w:t>του άρθρου 85 του Υ.Κ.  προκύπτει ότι το Συμβούλιο Επιλογής Προϊσταμένων  έχει την αρμοδιότητα να κρίνει τη συνάφεια  των μεταπτυχιακών τίτλων του υποψηφίου  σε σχέση με το αντικείμενο της θέσης που έχει προκηρυχθεί και την οποία διεκδικεί ο υποψήφιος  με βάση τις οικείες οργανικές διατάξεις και το περίγραμμα της θέσης εργασίας.  Είναι επομένως αδιάφορο   αν η συνάφεια  των μεταπτυχιακών τίτλων υποψηφίου  έχει ήδη κριθεί   βάσει όμως άλλων διατάξεων  που</w:t>
            </w:r>
            <w:r w:rsidR="00A05387">
              <w:rPr>
                <w:rFonts w:cs="Arial"/>
                <w:sz w:val="24"/>
                <w:szCs w:val="24"/>
              </w:rPr>
              <w:t xml:space="preserve"> δεν αποβλέπουν στον ίδιο σκοπό</w:t>
            </w:r>
            <w:r w:rsidR="00E832D4" w:rsidRPr="00A65F91">
              <w:rPr>
                <w:rFonts w:cs="Arial"/>
                <w:sz w:val="24"/>
                <w:szCs w:val="24"/>
              </w:rPr>
              <w:t>, δηλαδή την κάλυψη θέσης ευθύνης και μάλιστα επιπέδου πρ</w:t>
            </w:r>
            <w:r w:rsidR="00A05387">
              <w:rPr>
                <w:rFonts w:cs="Arial"/>
                <w:sz w:val="24"/>
                <w:szCs w:val="24"/>
              </w:rPr>
              <w:t>οϊσταμένου γενικής διεύθυνσης [</w:t>
            </w:r>
            <w:proofErr w:type="spellStart"/>
            <w:r w:rsidR="00E832D4" w:rsidRPr="00A65F91">
              <w:rPr>
                <w:rFonts w:cs="Arial"/>
                <w:sz w:val="24"/>
                <w:szCs w:val="24"/>
              </w:rPr>
              <w:t>ΣτΕ</w:t>
            </w:r>
            <w:proofErr w:type="spellEnd"/>
            <w:r w:rsidR="00E832D4" w:rsidRPr="00A65F91">
              <w:rPr>
                <w:rFonts w:cs="Arial"/>
                <w:sz w:val="24"/>
                <w:szCs w:val="24"/>
              </w:rPr>
              <w:t xml:space="preserve"> 1949/2023,1883/2024]</w:t>
            </w:r>
            <w:r w:rsidR="00A05387">
              <w:rPr>
                <w:rFonts w:cs="Arial"/>
                <w:sz w:val="24"/>
                <w:szCs w:val="24"/>
              </w:rPr>
              <w:t>.</w:t>
            </w:r>
            <w:r w:rsidR="00E832D4" w:rsidRPr="00A65F91">
              <w:rPr>
                <w:rFonts w:cs="Arial"/>
                <w:sz w:val="24"/>
                <w:szCs w:val="24"/>
              </w:rPr>
              <w:t xml:space="preserve">   Κατά συνέπεια πρέπει να απορριφθεί η κρινόμενη ένσταση.</w:t>
            </w:r>
          </w:p>
        </w:tc>
      </w:tr>
      <w:tr w:rsidR="004117DC" w:rsidRPr="00A65F91" w:rsidTr="00204A55">
        <w:tc>
          <w:tcPr>
            <w:tcW w:w="675" w:type="dxa"/>
          </w:tcPr>
          <w:p w:rsidR="004A7509" w:rsidRPr="00A65F91" w:rsidRDefault="00DF692D" w:rsidP="004117DC">
            <w:pPr>
              <w:spacing w:line="360" w:lineRule="atLeast"/>
              <w:jc w:val="both"/>
              <w:rPr>
                <w:b/>
                <w:sz w:val="24"/>
                <w:szCs w:val="24"/>
              </w:rPr>
            </w:pPr>
            <w:r w:rsidRPr="00A65F91">
              <w:rPr>
                <w:b/>
                <w:sz w:val="24"/>
                <w:szCs w:val="24"/>
              </w:rPr>
              <w:t>3.</w:t>
            </w:r>
          </w:p>
        </w:tc>
        <w:tc>
          <w:tcPr>
            <w:tcW w:w="4864" w:type="dxa"/>
          </w:tcPr>
          <w:p w:rsidR="004A7509" w:rsidRPr="00A65F91" w:rsidRDefault="00A05387" w:rsidP="004117DC">
            <w:pPr>
              <w:spacing w:line="360" w:lineRule="atLeast"/>
              <w:jc w:val="both"/>
              <w:rPr>
                <w:b/>
                <w:sz w:val="24"/>
                <w:szCs w:val="24"/>
              </w:rPr>
            </w:pPr>
            <w:r>
              <w:rPr>
                <w:b/>
                <w:sz w:val="24"/>
                <w:szCs w:val="24"/>
              </w:rPr>
              <w:t>29833/11-04-2024</w:t>
            </w:r>
          </w:p>
        </w:tc>
        <w:tc>
          <w:tcPr>
            <w:tcW w:w="4208" w:type="dxa"/>
            <w:gridSpan w:val="2"/>
          </w:tcPr>
          <w:p w:rsidR="004A7509" w:rsidRPr="00A05387" w:rsidRDefault="00A05387" w:rsidP="00A05387">
            <w:pPr>
              <w:spacing w:line="360" w:lineRule="atLeast"/>
              <w:jc w:val="both"/>
              <w:rPr>
                <w:sz w:val="24"/>
                <w:szCs w:val="24"/>
              </w:rPr>
            </w:pPr>
            <w:r w:rsidRPr="00A05387">
              <w:rPr>
                <w:rFonts w:cs="Arial"/>
                <w:sz w:val="24"/>
                <w:szCs w:val="24"/>
              </w:rPr>
              <w:t>Ο ενιστάμενος  πρ</w:t>
            </w:r>
            <w:r>
              <w:rPr>
                <w:rFonts w:cs="Arial"/>
                <w:sz w:val="24"/>
                <w:szCs w:val="24"/>
              </w:rPr>
              <w:t>οσβάλλοντας τους  προσωρινούς πίνακες κατάταξης</w:t>
            </w:r>
            <w:r w:rsidRPr="00A05387">
              <w:rPr>
                <w:rFonts w:cs="Arial"/>
                <w:sz w:val="24"/>
                <w:szCs w:val="24"/>
              </w:rPr>
              <w:t>,</w:t>
            </w:r>
            <w:r>
              <w:rPr>
                <w:rFonts w:cs="Arial"/>
                <w:sz w:val="24"/>
                <w:szCs w:val="24"/>
              </w:rPr>
              <w:t xml:space="preserve"> ισχυρίζεται ότι</w:t>
            </w:r>
            <w:r w:rsidRPr="00A05387">
              <w:rPr>
                <w:rFonts w:cs="Arial"/>
                <w:sz w:val="24"/>
                <w:szCs w:val="24"/>
              </w:rPr>
              <w:t xml:space="preserve">  το μεταπτυχι</w:t>
            </w:r>
            <w:r>
              <w:rPr>
                <w:rFonts w:cs="Arial"/>
                <w:sz w:val="24"/>
                <w:szCs w:val="24"/>
              </w:rPr>
              <w:t xml:space="preserve">ακό του  το έχει λάβει από το </w:t>
            </w:r>
            <w:r w:rsidRPr="00A05387">
              <w:rPr>
                <w:rFonts w:cs="Arial"/>
                <w:sz w:val="24"/>
                <w:szCs w:val="24"/>
              </w:rPr>
              <w:t xml:space="preserve">Οικονομικό Πανεπιστήμιο Αθηνών και ειδικότερα από το </w:t>
            </w:r>
            <w:proofErr w:type="spellStart"/>
            <w:r w:rsidRPr="00A05387">
              <w:rPr>
                <w:rFonts w:cs="Arial"/>
                <w:sz w:val="24"/>
                <w:szCs w:val="24"/>
              </w:rPr>
              <w:t>διατμηματικό</w:t>
            </w:r>
            <w:proofErr w:type="spellEnd"/>
            <w:r w:rsidRPr="00A05387">
              <w:rPr>
                <w:rFonts w:cs="Arial"/>
                <w:sz w:val="24"/>
                <w:szCs w:val="24"/>
              </w:rPr>
              <w:t xml:space="preserve">  πρόγραμμα μεταπτυχιακών σπουδών  των τμημάτων  οικονομικής επιστήμης και Ευρωπαϊκών Οικονομικών Σπουδών Διοικητικής Επιστήμης »   έχει συνάφεια  με το περιεχόμενο της κρινόμενης θέσης  γιατί έχει χορηγηθεί από το Οικονομικό  Πανεπιστήμιο Αθηνών   και εστιάζει  πέραν του τομέα  της   διοικητικής επιστήμης κυρίως σε δύο τομείς κατεξοχήν οικονομικού αντικειμένου, αυτούς των τμημάτων της Οικονομικής Επιστήμης  και των </w:t>
            </w:r>
            <w:r>
              <w:rPr>
                <w:rFonts w:cs="Arial"/>
                <w:sz w:val="24"/>
                <w:szCs w:val="24"/>
              </w:rPr>
              <w:t>Διεθνών και Ευρωπαϊκών σπουδών</w:t>
            </w:r>
            <w:r w:rsidRPr="00A05387">
              <w:rPr>
                <w:rFonts w:cs="Arial"/>
                <w:sz w:val="24"/>
                <w:szCs w:val="24"/>
              </w:rPr>
              <w:t>. Ισχυρίζεται δε περαιτέρω ότι το συγκεκριμένο μεταπτυχιακό   έχει κριθεί ως συναφές   ως προς όλα τα αντικείμενα που αναφέρονται  στον Οργανισμό του εν</w:t>
            </w:r>
            <w:r>
              <w:rPr>
                <w:rFonts w:cs="Arial"/>
                <w:sz w:val="24"/>
                <w:szCs w:val="24"/>
              </w:rPr>
              <w:t xml:space="preserve"> </w:t>
            </w:r>
            <w:r w:rsidRPr="00A05387">
              <w:rPr>
                <w:rFonts w:cs="Arial"/>
                <w:sz w:val="24"/>
                <w:szCs w:val="24"/>
              </w:rPr>
              <w:t>λόγω Υπουργείου.</w:t>
            </w:r>
            <w:r>
              <w:rPr>
                <w:rFonts w:cs="Arial"/>
                <w:sz w:val="24"/>
                <w:szCs w:val="24"/>
              </w:rPr>
              <w:t xml:space="preserve"> Τέλος προσκομίζει </w:t>
            </w:r>
            <w:r w:rsidRPr="00A05387">
              <w:rPr>
                <w:rFonts w:cs="Arial"/>
                <w:sz w:val="24"/>
                <w:szCs w:val="24"/>
              </w:rPr>
              <w:t>αντίγραφο του μεταπτυχιακού του διπλώματος   από το οποίο προκύπτει ό</w:t>
            </w:r>
            <w:r>
              <w:rPr>
                <w:rFonts w:cs="Arial"/>
                <w:sz w:val="24"/>
                <w:szCs w:val="24"/>
              </w:rPr>
              <w:t>τι ο υποψήφιος αυτός ενεγράφη</w:t>
            </w:r>
            <w:r w:rsidRPr="00A05387">
              <w:rPr>
                <w:rFonts w:cs="Arial"/>
                <w:sz w:val="24"/>
                <w:szCs w:val="24"/>
              </w:rPr>
              <w:t xml:space="preserve"> στο Πρόγραμμα μεταπτυχιακών Σπουδών Ειδίκευσης  στη Δημόσια Πολιτική  και Διοίκηση τμη</w:t>
            </w:r>
            <w:r>
              <w:rPr>
                <w:rFonts w:cs="Arial"/>
                <w:sz w:val="24"/>
                <w:szCs w:val="24"/>
              </w:rPr>
              <w:t>μάτων της Οικονομικής Επιστήμης</w:t>
            </w:r>
            <w:r w:rsidRPr="00A05387">
              <w:rPr>
                <w:rFonts w:cs="Arial"/>
                <w:sz w:val="24"/>
                <w:szCs w:val="24"/>
              </w:rPr>
              <w:t>, Διεθνών και Ευρωπαϊκών Σπουδώ</w:t>
            </w:r>
            <w:r>
              <w:rPr>
                <w:rFonts w:cs="Arial"/>
                <w:sz w:val="24"/>
                <w:szCs w:val="24"/>
              </w:rPr>
              <w:t xml:space="preserve">ν και Διοικητικής Τεχνολογίας </w:t>
            </w:r>
            <w:r w:rsidRPr="00A05387">
              <w:rPr>
                <w:rFonts w:cs="Arial"/>
                <w:sz w:val="24"/>
                <w:szCs w:val="24"/>
              </w:rPr>
              <w:t>του ο</w:t>
            </w:r>
            <w:r>
              <w:rPr>
                <w:rFonts w:cs="Arial"/>
                <w:sz w:val="24"/>
                <w:szCs w:val="24"/>
              </w:rPr>
              <w:t>ικονομικού Πανεπιστημίου Αθηνών</w:t>
            </w:r>
            <w:r w:rsidRPr="00A05387">
              <w:rPr>
                <w:rFonts w:cs="Arial"/>
                <w:sz w:val="24"/>
                <w:szCs w:val="24"/>
              </w:rPr>
              <w:t>.</w:t>
            </w:r>
            <w:r>
              <w:rPr>
                <w:rFonts w:cs="Arial"/>
                <w:sz w:val="24"/>
                <w:szCs w:val="24"/>
              </w:rPr>
              <w:t xml:space="preserve"> </w:t>
            </w:r>
            <w:r w:rsidRPr="00A05387">
              <w:rPr>
                <w:rFonts w:cs="Arial"/>
                <w:sz w:val="24"/>
                <w:szCs w:val="24"/>
              </w:rPr>
              <w:t>Όμως, ο ενιστάμενος με την ένστασή του δεν προσκομίζει πρόσφορα στοιχεία   για την υποστήριξη των ισχυρισμών του περί συνάφειας του μεταπτυχιακού του τίτλου προς την υπό πλήρωση</w:t>
            </w:r>
            <w:r>
              <w:rPr>
                <w:rFonts w:cs="Arial"/>
                <w:sz w:val="24"/>
                <w:szCs w:val="24"/>
              </w:rPr>
              <w:t xml:space="preserve"> θέση</w:t>
            </w:r>
            <w:r w:rsidRPr="00A05387">
              <w:rPr>
                <w:rFonts w:cs="Arial"/>
                <w:sz w:val="24"/>
                <w:szCs w:val="24"/>
              </w:rPr>
              <w:t>.</w:t>
            </w:r>
            <w:r>
              <w:rPr>
                <w:rFonts w:cs="Arial"/>
                <w:sz w:val="24"/>
                <w:szCs w:val="24"/>
              </w:rPr>
              <w:t xml:space="preserve"> </w:t>
            </w:r>
            <w:r w:rsidRPr="00A05387">
              <w:rPr>
                <w:rFonts w:cs="Arial"/>
                <w:sz w:val="24"/>
                <w:szCs w:val="24"/>
              </w:rPr>
              <w:t>Εν συνεχεία και ανεξαρτήτως του ότι προκειμένου να συναχθεί η συνάφεια  δεν αρκεί η αναφορά   στον τίτλο του μεταπτυχιακού  διπλώματος [ΣτΕ209/2024 σκ.19], από τον  ίδιο   τον τίτλο   του μεταπτυ</w:t>
            </w:r>
            <w:r>
              <w:rPr>
                <w:rFonts w:cs="Arial"/>
                <w:sz w:val="24"/>
                <w:szCs w:val="24"/>
              </w:rPr>
              <w:t>χιακού διπλώματος</w:t>
            </w:r>
            <w:r w:rsidRPr="00A05387">
              <w:rPr>
                <w:rFonts w:cs="Arial"/>
                <w:sz w:val="24"/>
                <w:szCs w:val="24"/>
              </w:rPr>
              <w:t>,</w:t>
            </w:r>
            <w:r>
              <w:rPr>
                <w:rFonts w:cs="Arial"/>
                <w:sz w:val="24"/>
                <w:szCs w:val="24"/>
              </w:rPr>
              <w:t xml:space="preserve"> </w:t>
            </w:r>
            <w:r w:rsidRPr="00A05387">
              <w:rPr>
                <w:rFonts w:cs="Arial"/>
                <w:sz w:val="24"/>
                <w:szCs w:val="24"/>
              </w:rPr>
              <w:t xml:space="preserve">δεν προκύπτει ότι   αυτός    είναι συναφής   με  το  αντικείμενο της </w:t>
            </w:r>
            <w:proofErr w:type="spellStart"/>
            <w:r w:rsidRPr="00A05387">
              <w:rPr>
                <w:rFonts w:cs="Arial"/>
                <w:sz w:val="24"/>
                <w:szCs w:val="24"/>
              </w:rPr>
              <w:t>προκηρυχθείσης</w:t>
            </w:r>
            <w:proofErr w:type="spellEnd"/>
            <w:r w:rsidRPr="00A05387">
              <w:rPr>
                <w:rFonts w:cs="Arial"/>
                <w:sz w:val="24"/>
                <w:szCs w:val="24"/>
              </w:rPr>
              <w:t xml:space="preserve"> θέσεως</w:t>
            </w:r>
            <w:r>
              <w:rPr>
                <w:rFonts w:cs="Arial"/>
                <w:sz w:val="24"/>
                <w:szCs w:val="24"/>
              </w:rPr>
              <w:t xml:space="preserve"> που έχει απολύτως οικονομικό περιεχόμενο. Περαιτέρω, δεν προσκομίζονται </w:t>
            </w:r>
            <w:r w:rsidRPr="00A05387">
              <w:rPr>
                <w:rFonts w:cs="Arial"/>
                <w:sz w:val="24"/>
                <w:szCs w:val="24"/>
              </w:rPr>
              <w:t>αποδεικτικά στοιχεία  σχετικά με τις ενότητες  των διδασκομένων μαθημάτων     στο συγκε</w:t>
            </w:r>
            <w:r>
              <w:rPr>
                <w:rFonts w:cs="Arial"/>
                <w:sz w:val="24"/>
                <w:szCs w:val="24"/>
              </w:rPr>
              <w:t>κριμένο  μεταπτυχιακό πρόγραμμα</w:t>
            </w:r>
            <w:r w:rsidRPr="00A05387">
              <w:rPr>
                <w:rFonts w:cs="Arial"/>
                <w:sz w:val="24"/>
                <w:szCs w:val="24"/>
              </w:rPr>
              <w:t>.</w:t>
            </w:r>
            <w:r>
              <w:rPr>
                <w:rFonts w:cs="Arial"/>
                <w:sz w:val="24"/>
                <w:szCs w:val="24"/>
              </w:rPr>
              <w:t xml:space="preserve"> </w:t>
            </w:r>
            <w:r w:rsidRPr="00A05387">
              <w:rPr>
                <w:rFonts w:cs="Arial"/>
                <w:sz w:val="24"/>
                <w:szCs w:val="24"/>
              </w:rPr>
              <w:t xml:space="preserve">Η κρίση αυτή     σχετίζεται με  τις οικείες οργανικές διατάξεις οι οποίες  εντάσσουν  στις αρμοδιότητες τους επιχειρησιακούς στόχους  και τη διάρθρωση των οργανικών μονάδων  της συγκεκριμένης Γενικής Διεύθυνσης,  μέτρα ,δράσεις και πολιτικές που αφορούν , μεταξύ άλλων ,  την κατάρτιση του προϋπολογισμού  και του μεσοπρόθεσμου  πλαισίου δημοσιονομικής στρατηγικής , την εκτέλεση του τακτικού προϋπολογισμού , την εκτέλεση του προγράμματος δημοσίων επενδύσεων  την εκκαθάριση    αποδοχών , την οικονομική εποπτεία των φορέων  γενικής κυβέρνησης και των ΔΕΚΟ  κλπ., δηλαδή   αρμοδιότητες κατεξοχήν οικονομικού ,λογιστικού και δημοσιονομικού περιεχομένου  Τέλος, ο ισχυρισμός του </w:t>
            </w:r>
            <w:proofErr w:type="spellStart"/>
            <w:r w:rsidRPr="00A05387">
              <w:rPr>
                <w:rFonts w:cs="Arial"/>
                <w:sz w:val="24"/>
                <w:szCs w:val="24"/>
              </w:rPr>
              <w:t>ενισταμένου</w:t>
            </w:r>
            <w:proofErr w:type="spellEnd"/>
            <w:r w:rsidRPr="00A05387">
              <w:rPr>
                <w:rFonts w:cs="Arial"/>
                <w:sz w:val="24"/>
                <w:szCs w:val="24"/>
              </w:rPr>
              <w:t xml:space="preserve"> ότι   το δίπλωμά του  έχει κριθεί ως συναφές   από την υπηρεσία του   ως προς τα αντικείμενα   με τα οποία  είναι δυνατόν  κατά τις οργανικές διατάξεις   της Υπηρεσίας να απασχοληθεί, πρέπει να απορριφθεί ως αβάσιμος.   Και αυτό γιατί από  τη διάταξη της </w:t>
            </w:r>
            <w:proofErr w:type="spellStart"/>
            <w:r w:rsidRPr="00A05387">
              <w:rPr>
                <w:rFonts w:cs="Arial"/>
                <w:sz w:val="24"/>
                <w:szCs w:val="24"/>
              </w:rPr>
              <w:t>περ</w:t>
            </w:r>
            <w:proofErr w:type="spellEnd"/>
            <w:r w:rsidRPr="00A05387">
              <w:rPr>
                <w:rFonts w:cs="Arial"/>
                <w:sz w:val="24"/>
                <w:szCs w:val="24"/>
              </w:rPr>
              <w:t xml:space="preserve">. </w:t>
            </w:r>
            <w:proofErr w:type="spellStart"/>
            <w:r w:rsidRPr="00A05387">
              <w:rPr>
                <w:rFonts w:cs="Arial"/>
                <w:sz w:val="24"/>
                <w:szCs w:val="24"/>
              </w:rPr>
              <w:t>στ΄</w:t>
            </w:r>
            <w:proofErr w:type="spellEnd"/>
            <w:r w:rsidRPr="00A05387">
              <w:rPr>
                <w:rFonts w:cs="Arial"/>
                <w:sz w:val="24"/>
                <w:szCs w:val="24"/>
              </w:rPr>
              <w:t xml:space="preserve"> της παρ.3  του άρθρου 85 του Υ.Κ.  προκύπτει ότι το Συμβούλιο Επιλογής Προϊσταμένων  έχει την αρμοδιότητα να κρίνει τη συνάφεια  των μεταπτυχιακών τίτλων του υποψηφίου  σε σχέση με το αντικείμενο της θέσης που έχει προκηρυχθεί και την οποία διεκδικεί ο υποψήφιος  με βάση τις οικείες οργανικές διατάξεις και το περίγραμμα της θέσης εργασίας.  Είναι επομένως αδιάφορο   αν η συνάφεια  των μεταπτυχιακών τίτλων υποψηφίου  έχει ήδη κριθεί   βάσει όμως άλλων διατάξεων  που</w:t>
            </w:r>
            <w:r>
              <w:rPr>
                <w:rFonts w:cs="Arial"/>
                <w:sz w:val="24"/>
                <w:szCs w:val="24"/>
              </w:rPr>
              <w:t xml:space="preserve"> δεν αποβλέπουν στον ίδιο σκοπό</w:t>
            </w:r>
            <w:r w:rsidRPr="00A05387">
              <w:rPr>
                <w:rFonts w:cs="Arial"/>
                <w:sz w:val="24"/>
                <w:szCs w:val="24"/>
              </w:rPr>
              <w:t xml:space="preserve">, δηλαδή την κάλυψη θέσης ευθύνης και μάλιστα επιπέδου προϊσταμένου γενικής διεύθυνσης [ </w:t>
            </w:r>
            <w:proofErr w:type="spellStart"/>
            <w:r w:rsidRPr="00A05387">
              <w:rPr>
                <w:rFonts w:cs="Arial"/>
                <w:sz w:val="24"/>
                <w:szCs w:val="24"/>
              </w:rPr>
              <w:t>ΣτΕ</w:t>
            </w:r>
            <w:proofErr w:type="spellEnd"/>
            <w:r w:rsidRPr="00A05387">
              <w:rPr>
                <w:rFonts w:cs="Arial"/>
                <w:sz w:val="24"/>
                <w:szCs w:val="24"/>
              </w:rPr>
              <w:t xml:space="preserve"> 1949/2023,1883/2024]   Κατά συνέπεια πρέπει να</w:t>
            </w:r>
            <w:r w:rsidRPr="00A05387">
              <w:rPr>
                <w:rFonts w:cs="Arial"/>
                <w:sz w:val="24"/>
                <w:szCs w:val="24"/>
              </w:rPr>
              <w:t xml:space="preserve"> απορριφθεί η κρινόμενη ένσταση.</w:t>
            </w:r>
          </w:p>
        </w:tc>
      </w:tr>
    </w:tbl>
    <w:p w:rsidR="00A046C8" w:rsidRPr="00A65F91" w:rsidRDefault="00A046C8" w:rsidP="004117DC">
      <w:pPr>
        <w:spacing w:after="0" w:line="360" w:lineRule="atLeast"/>
        <w:jc w:val="both"/>
        <w:rPr>
          <w:sz w:val="24"/>
          <w:szCs w:val="24"/>
        </w:rPr>
      </w:pPr>
    </w:p>
    <w:sectPr w:rsidR="00A046C8" w:rsidRPr="00A65F91" w:rsidSect="00204A55">
      <w:pgSz w:w="11906" w:h="16838"/>
      <w:pgMar w:top="1247" w:right="1021"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509"/>
    <w:rsid w:val="00011C93"/>
    <w:rsid w:val="00043C5D"/>
    <w:rsid w:val="00073BC2"/>
    <w:rsid w:val="00082C74"/>
    <w:rsid w:val="00152476"/>
    <w:rsid w:val="00204A55"/>
    <w:rsid w:val="0021273D"/>
    <w:rsid w:val="002167E9"/>
    <w:rsid w:val="004117DC"/>
    <w:rsid w:val="00411945"/>
    <w:rsid w:val="004A7509"/>
    <w:rsid w:val="00511E7F"/>
    <w:rsid w:val="00542A29"/>
    <w:rsid w:val="00646F16"/>
    <w:rsid w:val="007650E2"/>
    <w:rsid w:val="00782B38"/>
    <w:rsid w:val="007E06BC"/>
    <w:rsid w:val="009D4B91"/>
    <w:rsid w:val="00A046C8"/>
    <w:rsid w:val="00A05387"/>
    <w:rsid w:val="00A15CFA"/>
    <w:rsid w:val="00A65F91"/>
    <w:rsid w:val="00AA4CD4"/>
    <w:rsid w:val="00B01D4E"/>
    <w:rsid w:val="00B20BC0"/>
    <w:rsid w:val="00BD4A75"/>
    <w:rsid w:val="00C0583B"/>
    <w:rsid w:val="00C651F9"/>
    <w:rsid w:val="00DF692D"/>
    <w:rsid w:val="00E10A3E"/>
    <w:rsid w:val="00E436B1"/>
    <w:rsid w:val="00E832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7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7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09187">
      <w:bodyDiv w:val="1"/>
      <w:marLeft w:val="0"/>
      <w:marRight w:val="0"/>
      <w:marTop w:val="0"/>
      <w:marBottom w:val="0"/>
      <w:divBdr>
        <w:top w:val="none" w:sz="0" w:space="0" w:color="auto"/>
        <w:left w:val="none" w:sz="0" w:space="0" w:color="auto"/>
        <w:bottom w:val="none" w:sz="0" w:space="0" w:color="auto"/>
        <w:right w:val="none" w:sz="0" w:space="0" w:color="auto"/>
      </w:divBdr>
    </w:div>
    <w:div w:id="640233262">
      <w:bodyDiv w:val="1"/>
      <w:marLeft w:val="0"/>
      <w:marRight w:val="0"/>
      <w:marTop w:val="0"/>
      <w:marBottom w:val="0"/>
      <w:divBdr>
        <w:top w:val="none" w:sz="0" w:space="0" w:color="auto"/>
        <w:left w:val="none" w:sz="0" w:space="0" w:color="auto"/>
        <w:bottom w:val="none" w:sz="0" w:space="0" w:color="auto"/>
        <w:right w:val="none" w:sz="0" w:space="0" w:color="auto"/>
      </w:divBdr>
    </w:div>
    <w:div w:id="958300068">
      <w:bodyDiv w:val="1"/>
      <w:marLeft w:val="0"/>
      <w:marRight w:val="0"/>
      <w:marTop w:val="0"/>
      <w:marBottom w:val="0"/>
      <w:divBdr>
        <w:top w:val="none" w:sz="0" w:space="0" w:color="auto"/>
        <w:left w:val="none" w:sz="0" w:space="0" w:color="auto"/>
        <w:bottom w:val="none" w:sz="0" w:space="0" w:color="auto"/>
        <w:right w:val="none" w:sz="0" w:space="0" w:color="auto"/>
      </w:divBdr>
    </w:div>
    <w:div w:id="197987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11</Pages>
  <Words>2222</Words>
  <Characters>12004</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Giannis Ntiniakos</dc:creator>
  <cp:lastModifiedBy>Giannis Ntiniakos</cp:lastModifiedBy>
  <cp:revision>24</cp:revision>
  <cp:lastPrinted>2025-04-29T12:42:00Z</cp:lastPrinted>
  <dcterms:created xsi:type="dcterms:W3CDTF">2025-04-29T07:26:00Z</dcterms:created>
  <dcterms:modified xsi:type="dcterms:W3CDTF">2025-05-22T09:11:00Z</dcterms:modified>
</cp:coreProperties>
</file>